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6AE" w:rsidRPr="006765C5" w:rsidRDefault="00DF26AE" w:rsidP="00824534">
      <w:pPr>
        <w:jc w:val="right"/>
        <w:rPr>
          <w:rFonts w:ascii="Times New Roman" w:hAnsi="Times New Roman"/>
          <w:sz w:val="20"/>
          <w:szCs w:val="20"/>
          <w:lang w:val="uk-UA"/>
        </w:rPr>
      </w:pPr>
      <w:r w:rsidRPr="006765C5">
        <w:rPr>
          <w:rFonts w:ascii="Times New Roman" w:hAnsi="Times New Roman"/>
          <w:sz w:val="20"/>
          <w:szCs w:val="20"/>
          <w:lang w:val="uk-UA"/>
        </w:rPr>
        <w:t>Форма № 03-І</w:t>
      </w:r>
    </w:p>
    <w:p w:rsidR="00DF26AE" w:rsidRPr="006765C5" w:rsidRDefault="00DF26AE" w:rsidP="00824534">
      <w:pPr>
        <w:jc w:val="center"/>
        <w:rPr>
          <w:rFonts w:ascii="Times New Roman" w:hAnsi="Times New Roman"/>
          <w:sz w:val="20"/>
          <w:szCs w:val="20"/>
          <w:lang w:val="uk-UA"/>
        </w:rPr>
      </w:pPr>
      <w:r w:rsidRPr="006765C5">
        <w:rPr>
          <w:rFonts w:ascii="Times New Roman" w:hAnsi="Times New Roman"/>
          <w:sz w:val="20"/>
          <w:szCs w:val="20"/>
          <w:lang w:val="uk-UA"/>
        </w:rPr>
        <w:t>Звіт про виконання індикаторів Програми економічного і соціального розвитку м. Києва на 2021-2023 роки за 202</w:t>
      </w:r>
      <w:r w:rsidR="00A1489C">
        <w:rPr>
          <w:rFonts w:ascii="Times New Roman" w:hAnsi="Times New Roman"/>
          <w:sz w:val="20"/>
          <w:szCs w:val="20"/>
          <w:lang w:val="uk-UA"/>
        </w:rPr>
        <w:t>2</w:t>
      </w:r>
      <w:r w:rsidRPr="006765C5">
        <w:rPr>
          <w:rFonts w:ascii="Times New Roman" w:hAnsi="Times New Roman"/>
          <w:sz w:val="20"/>
          <w:szCs w:val="20"/>
          <w:lang w:val="uk-UA"/>
        </w:rPr>
        <w:t xml:space="preserve"> рік</w:t>
      </w:r>
    </w:p>
    <w:p w:rsidR="00DF26AE" w:rsidRPr="006765C5" w:rsidRDefault="00DF26AE" w:rsidP="00824534">
      <w:pPr>
        <w:jc w:val="center"/>
        <w:rPr>
          <w:rFonts w:ascii="Times New Roman" w:hAnsi="Times New Roman"/>
          <w:sz w:val="20"/>
          <w:szCs w:val="20"/>
          <w:lang w:val="uk-UA"/>
        </w:rPr>
      </w:pPr>
      <w:r w:rsidRPr="006765C5">
        <w:rPr>
          <w:rFonts w:ascii="Times New Roman" w:hAnsi="Times New Roman"/>
          <w:sz w:val="20"/>
          <w:szCs w:val="20"/>
          <w:lang w:val="uk-UA"/>
        </w:rPr>
        <w:t>Департамент соціальної політики</w:t>
      </w: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5812"/>
        <w:gridCol w:w="1559"/>
        <w:gridCol w:w="1276"/>
        <w:gridCol w:w="992"/>
        <w:gridCol w:w="5103"/>
      </w:tblGrid>
      <w:tr w:rsidR="00DF26AE" w:rsidRPr="006765C5" w:rsidTr="001828BF">
        <w:tc>
          <w:tcPr>
            <w:tcW w:w="568" w:type="dxa"/>
            <w:vMerge w:val="restart"/>
            <w:tcBorders>
              <w:bottom w:val="nil"/>
            </w:tcBorders>
            <w:vAlign w:val="center"/>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 п/п</w:t>
            </w:r>
          </w:p>
        </w:tc>
        <w:tc>
          <w:tcPr>
            <w:tcW w:w="5812" w:type="dxa"/>
            <w:vMerge w:val="restart"/>
            <w:tcBorders>
              <w:bottom w:val="nil"/>
            </w:tcBorders>
            <w:vAlign w:val="center"/>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Назва сектора/індикатора</w:t>
            </w:r>
          </w:p>
        </w:tc>
        <w:tc>
          <w:tcPr>
            <w:tcW w:w="1559" w:type="dxa"/>
            <w:vMerge w:val="restart"/>
            <w:tcBorders>
              <w:bottom w:val="nil"/>
            </w:tcBorders>
            <w:vAlign w:val="center"/>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Одиниця виміру</w:t>
            </w:r>
          </w:p>
        </w:tc>
        <w:tc>
          <w:tcPr>
            <w:tcW w:w="2268" w:type="dxa"/>
            <w:gridSpan w:val="2"/>
            <w:vAlign w:val="center"/>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Значення індикатора</w:t>
            </w:r>
          </w:p>
        </w:tc>
        <w:tc>
          <w:tcPr>
            <w:tcW w:w="5103" w:type="dxa"/>
            <w:vMerge w:val="restart"/>
            <w:tcBorders>
              <w:bottom w:val="nil"/>
            </w:tcBorders>
            <w:vAlign w:val="center"/>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Причини недосягнення прогнозних значень</w:t>
            </w:r>
          </w:p>
        </w:tc>
      </w:tr>
      <w:tr w:rsidR="00DF26AE" w:rsidRPr="006765C5" w:rsidTr="001828BF">
        <w:tc>
          <w:tcPr>
            <w:tcW w:w="568" w:type="dxa"/>
            <w:vMerge/>
            <w:tcBorders>
              <w:bottom w:val="nil"/>
            </w:tcBorders>
          </w:tcPr>
          <w:p w:rsidR="00DF26AE" w:rsidRPr="006765C5" w:rsidRDefault="00DF26AE" w:rsidP="001828BF">
            <w:pPr>
              <w:spacing w:after="0" w:line="240" w:lineRule="auto"/>
              <w:jc w:val="center"/>
              <w:rPr>
                <w:rFonts w:ascii="Times New Roman" w:hAnsi="Times New Roman"/>
                <w:sz w:val="20"/>
                <w:szCs w:val="20"/>
                <w:lang w:val="uk-UA"/>
              </w:rPr>
            </w:pPr>
          </w:p>
        </w:tc>
        <w:tc>
          <w:tcPr>
            <w:tcW w:w="5812" w:type="dxa"/>
            <w:vMerge/>
            <w:tcBorders>
              <w:bottom w:val="nil"/>
            </w:tcBorders>
          </w:tcPr>
          <w:p w:rsidR="00DF26AE" w:rsidRPr="006765C5" w:rsidRDefault="00DF26AE" w:rsidP="001828BF">
            <w:pPr>
              <w:spacing w:after="0" w:line="240" w:lineRule="auto"/>
              <w:jc w:val="center"/>
              <w:rPr>
                <w:rFonts w:ascii="Times New Roman" w:hAnsi="Times New Roman"/>
                <w:sz w:val="20"/>
                <w:szCs w:val="20"/>
                <w:lang w:val="uk-UA"/>
              </w:rPr>
            </w:pPr>
          </w:p>
        </w:tc>
        <w:tc>
          <w:tcPr>
            <w:tcW w:w="1559" w:type="dxa"/>
            <w:vMerge/>
            <w:tcBorders>
              <w:bottom w:val="nil"/>
            </w:tcBorders>
          </w:tcPr>
          <w:p w:rsidR="00DF26AE" w:rsidRPr="006765C5" w:rsidRDefault="00DF26AE" w:rsidP="001828BF">
            <w:pPr>
              <w:spacing w:after="0" w:line="240" w:lineRule="auto"/>
              <w:jc w:val="center"/>
              <w:rPr>
                <w:rFonts w:ascii="Times New Roman" w:hAnsi="Times New Roman"/>
                <w:sz w:val="20"/>
                <w:szCs w:val="20"/>
                <w:lang w:val="uk-UA"/>
              </w:rPr>
            </w:pPr>
          </w:p>
        </w:tc>
        <w:tc>
          <w:tcPr>
            <w:tcW w:w="1276" w:type="dxa"/>
            <w:tcBorders>
              <w:bottom w:val="nil"/>
            </w:tcBorders>
            <w:vAlign w:val="center"/>
          </w:tcPr>
          <w:p w:rsidR="00DF26AE" w:rsidRPr="006765C5" w:rsidRDefault="00DF26AE" w:rsidP="00A1489C">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План на 202</w:t>
            </w:r>
            <w:r w:rsidR="00A1489C">
              <w:rPr>
                <w:rFonts w:ascii="Times New Roman" w:hAnsi="Times New Roman"/>
                <w:sz w:val="20"/>
                <w:szCs w:val="20"/>
                <w:lang w:val="uk-UA"/>
              </w:rPr>
              <w:t>2</w:t>
            </w:r>
            <w:r w:rsidRPr="006765C5">
              <w:rPr>
                <w:rFonts w:ascii="Times New Roman" w:hAnsi="Times New Roman"/>
                <w:sz w:val="20"/>
                <w:szCs w:val="20"/>
                <w:lang w:val="uk-UA"/>
              </w:rPr>
              <w:t xml:space="preserve"> рік</w:t>
            </w:r>
          </w:p>
        </w:tc>
        <w:tc>
          <w:tcPr>
            <w:tcW w:w="992" w:type="dxa"/>
            <w:tcBorders>
              <w:bottom w:val="nil"/>
            </w:tcBorders>
            <w:vAlign w:val="center"/>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Факт</w:t>
            </w:r>
          </w:p>
        </w:tc>
        <w:tc>
          <w:tcPr>
            <w:tcW w:w="5103" w:type="dxa"/>
            <w:vMerge/>
            <w:tcBorders>
              <w:bottom w:val="nil"/>
            </w:tcBorders>
          </w:tcPr>
          <w:p w:rsidR="00DF26AE" w:rsidRPr="006765C5" w:rsidRDefault="00DF26AE" w:rsidP="001828BF">
            <w:pPr>
              <w:spacing w:after="0" w:line="240" w:lineRule="auto"/>
              <w:jc w:val="center"/>
              <w:rPr>
                <w:rFonts w:ascii="Times New Roman" w:hAnsi="Times New Roman"/>
                <w:sz w:val="20"/>
                <w:szCs w:val="20"/>
                <w:lang w:val="uk-UA"/>
              </w:rPr>
            </w:pPr>
          </w:p>
        </w:tc>
      </w:tr>
    </w:tbl>
    <w:p w:rsidR="00DF26AE" w:rsidRPr="006765C5" w:rsidRDefault="00DF26AE" w:rsidP="00824534">
      <w:pPr>
        <w:pStyle w:val="a4"/>
        <w:rPr>
          <w:rFonts w:ascii="Times New Roman" w:hAnsi="Times New Roman"/>
          <w:sz w:val="2"/>
          <w:szCs w:val="2"/>
          <w:lang w:val="uk-UA"/>
        </w:rPr>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5776"/>
        <w:gridCol w:w="1555"/>
        <w:gridCol w:w="1273"/>
        <w:gridCol w:w="1066"/>
        <w:gridCol w:w="5071"/>
      </w:tblGrid>
      <w:tr w:rsidR="00DF26AE" w:rsidRPr="006765C5" w:rsidTr="00D042B8">
        <w:trPr>
          <w:tblHeader/>
        </w:trPr>
        <w:tc>
          <w:tcPr>
            <w:tcW w:w="568"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1</w:t>
            </w:r>
          </w:p>
        </w:tc>
        <w:tc>
          <w:tcPr>
            <w:tcW w:w="5776"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2</w:t>
            </w:r>
          </w:p>
        </w:tc>
        <w:tc>
          <w:tcPr>
            <w:tcW w:w="1556"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3</w:t>
            </w:r>
          </w:p>
        </w:tc>
        <w:tc>
          <w:tcPr>
            <w:tcW w:w="1272"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4</w:t>
            </w:r>
          </w:p>
        </w:tc>
        <w:tc>
          <w:tcPr>
            <w:tcW w:w="1066"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5</w:t>
            </w:r>
          </w:p>
        </w:tc>
        <w:tc>
          <w:tcPr>
            <w:tcW w:w="5072" w:type="dxa"/>
          </w:tcPr>
          <w:p w:rsidR="00DF26AE" w:rsidRPr="006765C5" w:rsidRDefault="00DF26AE" w:rsidP="001828BF">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6</w:t>
            </w:r>
          </w:p>
        </w:tc>
      </w:tr>
      <w:tr w:rsidR="00DF26AE" w:rsidRPr="006765C5" w:rsidTr="001828BF">
        <w:tc>
          <w:tcPr>
            <w:tcW w:w="15310" w:type="dxa"/>
            <w:gridSpan w:val="6"/>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b/>
                <w:bCs/>
                <w:sz w:val="20"/>
                <w:szCs w:val="20"/>
                <w:lang w:val="uk-UA" w:eastAsia="ru-RU"/>
              </w:rPr>
              <w:t>Сектор 1.3. Ринок праці</w:t>
            </w:r>
          </w:p>
        </w:tc>
      </w:tr>
      <w:tr w:rsidR="00D042B8" w:rsidRPr="00D20F7C" w:rsidTr="00043C4C">
        <w:tc>
          <w:tcPr>
            <w:tcW w:w="568" w:type="dxa"/>
          </w:tcPr>
          <w:p w:rsidR="00D042B8" w:rsidRPr="006765C5" w:rsidRDefault="00D042B8" w:rsidP="001828BF">
            <w:pPr>
              <w:spacing w:after="0" w:line="240" w:lineRule="auto"/>
              <w:rPr>
                <w:rFonts w:ascii="Times New Roman" w:hAnsi="Times New Roman"/>
                <w:sz w:val="20"/>
                <w:szCs w:val="20"/>
                <w:lang w:val="uk-UA"/>
              </w:rPr>
            </w:pPr>
            <w:r>
              <w:rPr>
                <w:rFonts w:ascii="Times New Roman" w:hAnsi="Times New Roman"/>
                <w:sz w:val="20"/>
                <w:szCs w:val="20"/>
                <w:lang w:val="uk-UA"/>
              </w:rPr>
              <w:t>19</w:t>
            </w:r>
          </w:p>
        </w:tc>
        <w:tc>
          <w:tcPr>
            <w:tcW w:w="5812" w:type="dxa"/>
          </w:tcPr>
          <w:p w:rsidR="00D042B8" w:rsidRPr="006765C5" w:rsidRDefault="00D042B8"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Рівень безробіття населення у віці 15</w:t>
            </w:r>
            <w:r w:rsidRPr="006765C5">
              <w:rPr>
                <w:rFonts w:ascii="Times New Roman" w:hAnsi="Times New Roman"/>
                <w:bCs/>
                <w:sz w:val="20"/>
                <w:szCs w:val="20"/>
                <w:lang w:val="uk-UA" w:eastAsia="uk-UA"/>
              </w:rPr>
              <w:t>–</w:t>
            </w:r>
            <w:r w:rsidRPr="006765C5">
              <w:rPr>
                <w:rFonts w:ascii="Times New Roman" w:hAnsi="Times New Roman"/>
                <w:sz w:val="20"/>
                <w:szCs w:val="20"/>
                <w:lang w:val="uk-UA" w:eastAsia="ru-RU"/>
              </w:rPr>
              <w:t>70 років (за методологією МОП)</w:t>
            </w:r>
          </w:p>
        </w:tc>
        <w:tc>
          <w:tcPr>
            <w:tcW w:w="1559" w:type="dxa"/>
          </w:tcPr>
          <w:p w:rsidR="00D042B8" w:rsidRPr="006765C5" w:rsidRDefault="00D042B8"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у % до робочої сили відповідної вікової групи</w:t>
            </w:r>
          </w:p>
        </w:tc>
        <w:tc>
          <w:tcPr>
            <w:tcW w:w="1276" w:type="dxa"/>
            <w:vAlign w:val="center"/>
          </w:tcPr>
          <w:p w:rsidR="00D042B8" w:rsidRPr="00D042B8" w:rsidRDefault="00D042B8" w:rsidP="00A1489C">
            <w:pPr>
              <w:widowControl w:val="0"/>
              <w:spacing w:after="0" w:line="240" w:lineRule="auto"/>
              <w:jc w:val="center"/>
              <w:rPr>
                <w:rFonts w:ascii="Times New Roman" w:hAnsi="Times New Roman"/>
                <w:sz w:val="20"/>
                <w:szCs w:val="20"/>
                <w:lang w:val="uk-UA" w:eastAsia="ru-RU"/>
              </w:rPr>
            </w:pPr>
            <w:r w:rsidRPr="00D042B8">
              <w:rPr>
                <w:rFonts w:ascii="Times New Roman" w:hAnsi="Times New Roman"/>
                <w:sz w:val="20"/>
                <w:szCs w:val="20"/>
                <w:lang w:val="uk-UA" w:eastAsia="ru-RU"/>
              </w:rPr>
              <w:t>7,6</w:t>
            </w:r>
          </w:p>
        </w:tc>
        <w:tc>
          <w:tcPr>
            <w:tcW w:w="992" w:type="dxa"/>
            <w:vAlign w:val="center"/>
          </w:tcPr>
          <w:p w:rsidR="00D042B8" w:rsidRPr="00D042B8" w:rsidRDefault="00D042B8" w:rsidP="00043C4C">
            <w:pPr>
              <w:widowControl w:val="0"/>
              <w:spacing w:after="0" w:line="240" w:lineRule="auto"/>
              <w:jc w:val="center"/>
              <w:rPr>
                <w:rFonts w:ascii="Times New Roman" w:hAnsi="Times New Roman"/>
                <w:sz w:val="20"/>
                <w:szCs w:val="20"/>
                <w:vertAlign w:val="superscript"/>
                <w:lang w:val="en-US"/>
              </w:rPr>
            </w:pPr>
            <w:r>
              <w:rPr>
                <w:rFonts w:ascii="Times New Roman" w:hAnsi="Times New Roman"/>
                <w:sz w:val="20"/>
                <w:szCs w:val="20"/>
              </w:rPr>
              <w:t>7,1</w:t>
            </w:r>
            <w:r>
              <w:rPr>
                <w:rFonts w:ascii="Times New Roman" w:hAnsi="Times New Roman"/>
                <w:sz w:val="20"/>
                <w:szCs w:val="20"/>
                <w:vertAlign w:val="superscript"/>
              </w:rPr>
              <w:t>1</w:t>
            </w:r>
          </w:p>
        </w:tc>
        <w:tc>
          <w:tcPr>
            <w:tcW w:w="5103" w:type="dxa"/>
            <w:vMerge w:val="restart"/>
            <w:vAlign w:val="center"/>
          </w:tcPr>
          <w:p w:rsidR="00D042B8" w:rsidRPr="00D042B8" w:rsidRDefault="00D042B8" w:rsidP="00D042B8">
            <w:pPr>
              <w:widowControl w:val="0"/>
              <w:spacing w:after="0" w:line="240" w:lineRule="auto"/>
              <w:jc w:val="both"/>
              <w:rPr>
                <w:rFonts w:ascii="Times New Roman" w:hAnsi="Times New Roman"/>
                <w:sz w:val="20"/>
                <w:szCs w:val="20"/>
                <w:lang w:val="uk-UA" w:eastAsia="ru-RU"/>
              </w:rPr>
            </w:pPr>
            <w:r w:rsidRPr="00D042B8">
              <w:rPr>
                <w:rFonts w:ascii="Times New Roman" w:hAnsi="Times New Roman"/>
                <w:sz w:val="20"/>
                <w:szCs w:val="20"/>
                <w:lang w:val="uk-UA" w:eastAsia="ru-RU"/>
              </w:rPr>
              <w:t>Нестабільність політичної і соціально-економічної ситуації в країні, а також наслідки обмежувальних протиепідемічних заходів, запроваджених з метою подолання пандемії вірусу COVID-19, введення воєнного стану в Україні згідно з Указом Президента України від 24.02.2022 № 64/2022 «Про введення воєнного стану в Україні» впливають на сферу зайнятості населення та зумовлюють певні негативні тенденції.</w:t>
            </w:r>
          </w:p>
        </w:tc>
      </w:tr>
      <w:tr w:rsidR="00D042B8" w:rsidRPr="006765C5" w:rsidTr="00D042B8">
        <w:tc>
          <w:tcPr>
            <w:tcW w:w="569" w:type="dxa"/>
          </w:tcPr>
          <w:p w:rsidR="00D042B8" w:rsidRPr="006765C5" w:rsidRDefault="00D042B8" w:rsidP="00A1489C">
            <w:pPr>
              <w:spacing w:after="0" w:line="240" w:lineRule="auto"/>
              <w:rPr>
                <w:rFonts w:ascii="Times New Roman" w:hAnsi="Times New Roman"/>
                <w:sz w:val="20"/>
                <w:szCs w:val="20"/>
                <w:lang w:val="uk-UA"/>
              </w:rPr>
            </w:pPr>
            <w:r w:rsidRPr="006765C5">
              <w:rPr>
                <w:rFonts w:ascii="Times New Roman" w:hAnsi="Times New Roman"/>
                <w:sz w:val="20"/>
                <w:szCs w:val="20"/>
                <w:lang w:val="uk-UA"/>
              </w:rPr>
              <w:t>2</w:t>
            </w:r>
            <w:r>
              <w:rPr>
                <w:rFonts w:ascii="Times New Roman" w:hAnsi="Times New Roman"/>
                <w:sz w:val="20"/>
                <w:szCs w:val="20"/>
                <w:lang w:val="uk-UA"/>
              </w:rPr>
              <w:t>0</w:t>
            </w:r>
          </w:p>
        </w:tc>
        <w:tc>
          <w:tcPr>
            <w:tcW w:w="5782" w:type="dxa"/>
          </w:tcPr>
          <w:p w:rsidR="00D042B8" w:rsidRPr="006765C5" w:rsidRDefault="00D042B8"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Середня тривалість пошуку роботи безробітними (за методологією МОП)</w:t>
            </w:r>
          </w:p>
        </w:tc>
        <w:tc>
          <w:tcPr>
            <w:tcW w:w="1556" w:type="dxa"/>
            <w:vAlign w:val="center"/>
          </w:tcPr>
          <w:p w:rsidR="00D042B8" w:rsidRPr="006765C5" w:rsidRDefault="00D042B8"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місяців</w:t>
            </w:r>
          </w:p>
        </w:tc>
        <w:tc>
          <w:tcPr>
            <w:tcW w:w="1272" w:type="dxa"/>
            <w:vAlign w:val="center"/>
          </w:tcPr>
          <w:p w:rsidR="00D042B8" w:rsidRPr="00D042B8" w:rsidRDefault="00D042B8" w:rsidP="001828BF">
            <w:pPr>
              <w:widowControl w:val="0"/>
              <w:spacing w:after="0" w:line="240" w:lineRule="auto"/>
              <w:jc w:val="center"/>
              <w:rPr>
                <w:rFonts w:ascii="Times New Roman" w:hAnsi="Times New Roman"/>
                <w:sz w:val="20"/>
                <w:szCs w:val="20"/>
                <w:lang w:val="uk-UA" w:eastAsia="ru-RU"/>
              </w:rPr>
            </w:pPr>
            <w:r w:rsidRPr="00D042B8">
              <w:rPr>
                <w:rFonts w:ascii="Times New Roman" w:hAnsi="Times New Roman"/>
                <w:sz w:val="20"/>
                <w:szCs w:val="20"/>
                <w:lang w:val="uk-UA" w:eastAsia="ru-RU"/>
              </w:rPr>
              <w:t>9</w:t>
            </w:r>
          </w:p>
        </w:tc>
        <w:tc>
          <w:tcPr>
            <w:tcW w:w="1066" w:type="dxa"/>
            <w:vAlign w:val="center"/>
          </w:tcPr>
          <w:p w:rsidR="00D042B8" w:rsidRPr="006765C5" w:rsidRDefault="00D042B8" w:rsidP="00043C4C">
            <w:pPr>
              <w:spacing w:after="0" w:line="240" w:lineRule="auto"/>
              <w:jc w:val="center"/>
              <w:rPr>
                <w:rFonts w:ascii="Times New Roman" w:hAnsi="Times New Roman"/>
                <w:sz w:val="20"/>
                <w:szCs w:val="20"/>
                <w:vertAlign w:val="superscript"/>
              </w:rPr>
            </w:pPr>
            <w:r w:rsidRPr="009F73BF">
              <w:rPr>
                <w:rFonts w:ascii="Times New Roman" w:hAnsi="Times New Roman"/>
                <w:sz w:val="20"/>
                <w:szCs w:val="20"/>
              </w:rPr>
              <w:t>10</w:t>
            </w:r>
            <w:r w:rsidRPr="009F73BF">
              <w:rPr>
                <w:rFonts w:ascii="Times New Roman" w:hAnsi="Times New Roman"/>
                <w:sz w:val="20"/>
                <w:szCs w:val="20"/>
                <w:vertAlign w:val="superscript"/>
              </w:rPr>
              <w:t>2</w:t>
            </w:r>
          </w:p>
        </w:tc>
        <w:tc>
          <w:tcPr>
            <w:tcW w:w="5065" w:type="dxa"/>
            <w:vMerge/>
            <w:vAlign w:val="center"/>
          </w:tcPr>
          <w:p w:rsidR="00D042B8" w:rsidRPr="00D042B8" w:rsidRDefault="00D042B8" w:rsidP="00D042B8">
            <w:pPr>
              <w:widowControl w:val="0"/>
              <w:spacing w:after="0" w:line="240" w:lineRule="auto"/>
              <w:jc w:val="both"/>
              <w:rPr>
                <w:rFonts w:ascii="Times New Roman" w:hAnsi="Times New Roman"/>
                <w:sz w:val="20"/>
                <w:szCs w:val="20"/>
                <w:lang w:val="uk-UA" w:eastAsia="ru-RU"/>
              </w:rPr>
            </w:pPr>
          </w:p>
        </w:tc>
      </w:tr>
      <w:tr w:rsidR="00DF26AE" w:rsidRPr="006765C5" w:rsidTr="00D042B8">
        <w:tc>
          <w:tcPr>
            <w:tcW w:w="569" w:type="dxa"/>
          </w:tcPr>
          <w:p w:rsidR="00DF26AE" w:rsidRPr="006765C5" w:rsidRDefault="00DF26AE" w:rsidP="00A1489C">
            <w:pPr>
              <w:spacing w:after="0" w:line="240" w:lineRule="auto"/>
              <w:rPr>
                <w:rFonts w:ascii="Times New Roman" w:hAnsi="Times New Roman"/>
                <w:sz w:val="20"/>
                <w:szCs w:val="20"/>
                <w:lang w:val="uk-UA"/>
              </w:rPr>
            </w:pPr>
            <w:r w:rsidRPr="006765C5">
              <w:rPr>
                <w:rFonts w:ascii="Times New Roman" w:hAnsi="Times New Roman"/>
                <w:sz w:val="20"/>
                <w:szCs w:val="20"/>
                <w:lang w:val="uk-UA"/>
              </w:rPr>
              <w:t>2</w:t>
            </w:r>
            <w:r w:rsidR="00A1489C">
              <w:rPr>
                <w:rFonts w:ascii="Times New Roman" w:hAnsi="Times New Roman"/>
                <w:sz w:val="20"/>
                <w:szCs w:val="20"/>
                <w:lang w:val="uk-UA"/>
              </w:rPr>
              <w:t>3</w:t>
            </w:r>
          </w:p>
        </w:tc>
        <w:tc>
          <w:tcPr>
            <w:tcW w:w="5782"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 xml:space="preserve">Чисельність прийнятих на нові робочі місця у всіх секторах економіки міста </w:t>
            </w:r>
          </w:p>
        </w:tc>
        <w:tc>
          <w:tcPr>
            <w:tcW w:w="155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тис. осіб</w:t>
            </w:r>
          </w:p>
        </w:tc>
        <w:tc>
          <w:tcPr>
            <w:tcW w:w="1272" w:type="dxa"/>
            <w:vAlign w:val="center"/>
          </w:tcPr>
          <w:p w:rsidR="00DF26AE" w:rsidRPr="00D042B8" w:rsidRDefault="00A1489C" w:rsidP="001828BF">
            <w:pPr>
              <w:widowControl w:val="0"/>
              <w:spacing w:after="0" w:line="240" w:lineRule="auto"/>
              <w:jc w:val="center"/>
              <w:rPr>
                <w:rFonts w:ascii="Times New Roman" w:hAnsi="Times New Roman"/>
                <w:sz w:val="20"/>
                <w:szCs w:val="20"/>
                <w:lang w:val="uk-UA" w:eastAsia="ru-RU"/>
              </w:rPr>
            </w:pPr>
            <w:r w:rsidRPr="00D042B8">
              <w:rPr>
                <w:rFonts w:ascii="Times New Roman" w:hAnsi="Times New Roman"/>
                <w:sz w:val="20"/>
                <w:szCs w:val="20"/>
                <w:lang w:val="uk-UA" w:eastAsia="ru-RU"/>
              </w:rPr>
              <w:t>65</w:t>
            </w:r>
          </w:p>
        </w:tc>
        <w:tc>
          <w:tcPr>
            <w:tcW w:w="1066" w:type="dxa"/>
            <w:vAlign w:val="center"/>
          </w:tcPr>
          <w:p w:rsidR="00DF26AE" w:rsidRPr="006765C5" w:rsidRDefault="00D042B8" w:rsidP="00043C4C">
            <w:pPr>
              <w:spacing w:after="0" w:line="240" w:lineRule="auto"/>
              <w:jc w:val="center"/>
              <w:rPr>
                <w:rFonts w:ascii="Times New Roman" w:hAnsi="Times New Roman"/>
                <w:sz w:val="20"/>
                <w:szCs w:val="20"/>
              </w:rPr>
            </w:pPr>
            <w:r>
              <w:rPr>
                <w:rFonts w:ascii="Times New Roman" w:hAnsi="Times New Roman"/>
                <w:sz w:val="20"/>
                <w:szCs w:val="20"/>
              </w:rPr>
              <w:t>38</w:t>
            </w:r>
            <w:r>
              <w:rPr>
                <w:rFonts w:ascii="Times New Roman" w:hAnsi="Times New Roman"/>
                <w:sz w:val="20"/>
                <w:szCs w:val="20"/>
                <w:vertAlign w:val="superscript"/>
              </w:rPr>
              <w:t>3</w:t>
            </w:r>
          </w:p>
        </w:tc>
        <w:tc>
          <w:tcPr>
            <w:tcW w:w="5065" w:type="dxa"/>
          </w:tcPr>
          <w:p w:rsidR="00DF26AE" w:rsidRPr="00D042B8" w:rsidRDefault="00D042B8" w:rsidP="00D042B8">
            <w:pPr>
              <w:widowControl w:val="0"/>
              <w:spacing w:after="0" w:line="240" w:lineRule="auto"/>
              <w:jc w:val="both"/>
              <w:rPr>
                <w:rFonts w:ascii="Times New Roman" w:hAnsi="Times New Roman"/>
                <w:sz w:val="20"/>
                <w:szCs w:val="20"/>
                <w:lang w:val="uk-UA" w:eastAsia="ru-RU"/>
              </w:rPr>
            </w:pPr>
            <w:r w:rsidRPr="00D042B8">
              <w:rPr>
                <w:rFonts w:ascii="Times New Roman" w:hAnsi="Times New Roman"/>
                <w:sz w:val="20"/>
                <w:szCs w:val="20"/>
                <w:lang w:val="uk-UA" w:eastAsia="ru-RU"/>
              </w:rPr>
              <w:t>Незважаючи на те, що останні дані Міністерства економіки України за січень-вересень 2022 року, – показник виконано на 58,5%.</w:t>
            </w:r>
          </w:p>
        </w:tc>
      </w:tr>
      <w:tr w:rsidR="00DF26AE" w:rsidRPr="006765C5" w:rsidTr="00D042B8">
        <w:tc>
          <w:tcPr>
            <w:tcW w:w="569" w:type="dxa"/>
          </w:tcPr>
          <w:p w:rsidR="00DF26AE" w:rsidRPr="006765C5" w:rsidRDefault="00DF26AE" w:rsidP="00A1489C">
            <w:pPr>
              <w:spacing w:after="0" w:line="240" w:lineRule="auto"/>
              <w:rPr>
                <w:rFonts w:ascii="Times New Roman" w:hAnsi="Times New Roman"/>
                <w:sz w:val="20"/>
                <w:szCs w:val="20"/>
                <w:lang w:val="uk-UA"/>
              </w:rPr>
            </w:pPr>
            <w:r w:rsidRPr="006765C5">
              <w:rPr>
                <w:rFonts w:ascii="Times New Roman" w:hAnsi="Times New Roman"/>
                <w:sz w:val="20"/>
                <w:szCs w:val="20"/>
                <w:lang w:val="uk-UA"/>
              </w:rPr>
              <w:t>2</w:t>
            </w:r>
            <w:r w:rsidR="00A1489C">
              <w:rPr>
                <w:rFonts w:ascii="Times New Roman" w:hAnsi="Times New Roman"/>
                <w:sz w:val="20"/>
                <w:szCs w:val="20"/>
                <w:lang w:val="uk-UA"/>
              </w:rPr>
              <w:t>5</w:t>
            </w:r>
          </w:p>
        </w:tc>
        <w:tc>
          <w:tcPr>
            <w:tcW w:w="5782"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Рівень офіційної середньомісячної заробітної плати в м. Києві (у розрахунку на одного штатного працівника)</w:t>
            </w:r>
          </w:p>
        </w:tc>
        <w:tc>
          <w:tcPr>
            <w:tcW w:w="155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грн/місяць</w:t>
            </w:r>
          </w:p>
        </w:tc>
        <w:tc>
          <w:tcPr>
            <w:tcW w:w="1272" w:type="dxa"/>
            <w:vAlign w:val="center"/>
          </w:tcPr>
          <w:p w:rsidR="00DF26AE" w:rsidRPr="00D042B8" w:rsidRDefault="00A1489C" w:rsidP="00A1489C">
            <w:pPr>
              <w:widowControl w:val="0"/>
              <w:spacing w:after="0" w:line="240" w:lineRule="auto"/>
              <w:jc w:val="center"/>
              <w:rPr>
                <w:rFonts w:ascii="Times New Roman" w:hAnsi="Times New Roman"/>
                <w:sz w:val="20"/>
                <w:szCs w:val="20"/>
                <w:lang w:val="uk-UA" w:eastAsia="ru-RU"/>
              </w:rPr>
            </w:pPr>
            <w:r w:rsidRPr="00D042B8">
              <w:rPr>
                <w:rFonts w:ascii="Times New Roman" w:hAnsi="Times New Roman"/>
                <w:sz w:val="20"/>
                <w:szCs w:val="20"/>
                <w:lang w:val="uk-UA" w:eastAsia="ru-RU"/>
              </w:rPr>
              <w:t>20576</w:t>
            </w:r>
          </w:p>
        </w:tc>
        <w:tc>
          <w:tcPr>
            <w:tcW w:w="1066" w:type="dxa"/>
            <w:vAlign w:val="center"/>
          </w:tcPr>
          <w:p w:rsidR="00DF26AE" w:rsidRPr="006765C5" w:rsidRDefault="00D042B8" w:rsidP="00043C4C">
            <w:pPr>
              <w:spacing w:after="0" w:line="240" w:lineRule="auto"/>
              <w:jc w:val="center"/>
              <w:rPr>
                <w:rFonts w:ascii="Times New Roman" w:hAnsi="Times New Roman"/>
                <w:sz w:val="20"/>
                <w:szCs w:val="20"/>
                <w:vertAlign w:val="superscript"/>
              </w:rPr>
            </w:pPr>
            <w:r>
              <w:rPr>
                <w:rFonts w:ascii="Times New Roman" w:hAnsi="Times New Roman"/>
                <w:sz w:val="20"/>
                <w:szCs w:val="20"/>
              </w:rPr>
              <w:t>21 347</w:t>
            </w:r>
            <w:r>
              <w:rPr>
                <w:rFonts w:ascii="Times New Roman" w:hAnsi="Times New Roman"/>
                <w:sz w:val="20"/>
                <w:szCs w:val="20"/>
                <w:vertAlign w:val="superscript"/>
              </w:rPr>
              <w:t>4</w:t>
            </w:r>
          </w:p>
        </w:tc>
        <w:tc>
          <w:tcPr>
            <w:tcW w:w="5065" w:type="dxa"/>
            <w:vAlign w:val="center"/>
          </w:tcPr>
          <w:p w:rsidR="00DF26AE" w:rsidRPr="00D042B8" w:rsidRDefault="00D042B8" w:rsidP="00D042B8">
            <w:pPr>
              <w:widowControl w:val="0"/>
              <w:spacing w:after="0" w:line="240" w:lineRule="auto"/>
              <w:jc w:val="both"/>
              <w:rPr>
                <w:rFonts w:ascii="Times New Roman" w:hAnsi="Times New Roman"/>
                <w:sz w:val="20"/>
                <w:szCs w:val="20"/>
                <w:lang w:val="uk-UA" w:eastAsia="ru-RU"/>
              </w:rPr>
            </w:pPr>
            <w:r w:rsidRPr="00D042B8">
              <w:rPr>
                <w:rFonts w:ascii="Times New Roman" w:hAnsi="Times New Roman"/>
                <w:sz w:val="20"/>
                <w:szCs w:val="20"/>
                <w:lang w:val="uk-UA" w:eastAsia="ru-RU"/>
              </w:rPr>
              <w:t>Наслідки обмежувальних протиепідемічних заходів, запроваджених з метою подолання пандемії вірусу COVID-19, введення воєнного стану в Україні згідно з Указом Президента України від 24.02.2022 № 64/2022 «Про введення воєнного стану в Україні»</w:t>
            </w:r>
          </w:p>
        </w:tc>
      </w:tr>
      <w:tr w:rsidR="00D042B8" w:rsidRPr="006765C5" w:rsidTr="007544C4">
        <w:tc>
          <w:tcPr>
            <w:tcW w:w="15310" w:type="dxa"/>
            <w:gridSpan w:val="6"/>
          </w:tcPr>
          <w:p w:rsidR="00D042B8" w:rsidRDefault="00D042B8" w:rsidP="00D042B8">
            <w:pPr>
              <w:spacing w:after="0" w:line="240" w:lineRule="auto"/>
              <w:ind w:right="-342"/>
              <w:rPr>
                <w:rFonts w:ascii="Times New Roman" w:hAnsi="Times New Roman"/>
                <w:sz w:val="18"/>
                <w:szCs w:val="18"/>
                <w:vertAlign w:val="superscript"/>
              </w:rPr>
            </w:pPr>
          </w:p>
          <w:p w:rsidR="00D042B8" w:rsidRPr="009F73BF" w:rsidRDefault="00D042B8" w:rsidP="00D042B8">
            <w:pPr>
              <w:spacing w:after="0" w:line="240" w:lineRule="auto"/>
              <w:ind w:right="-342"/>
              <w:rPr>
                <w:rFonts w:ascii="Times New Roman" w:hAnsi="Times New Roman"/>
                <w:sz w:val="18"/>
                <w:szCs w:val="18"/>
              </w:rPr>
            </w:pPr>
            <w:r w:rsidRPr="009F73BF">
              <w:rPr>
                <w:rFonts w:ascii="Times New Roman" w:hAnsi="Times New Roman"/>
                <w:sz w:val="18"/>
                <w:szCs w:val="18"/>
                <w:vertAlign w:val="superscript"/>
              </w:rPr>
              <w:t>1</w:t>
            </w:r>
            <w:r w:rsidRPr="009F73BF">
              <w:rPr>
                <w:rFonts w:ascii="Times New Roman" w:hAnsi="Times New Roman"/>
                <w:sz w:val="18"/>
                <w:szCs w:val="18"/>
              </w:rPr>
              <w:t xml:space="preserve"> – останні наявні дані Головного управління статистики у м. Києві «Зайнятість та безробіття населення м. Києва в 2021 році» від 28.03.2022;</w:t>
            </w:r>
          </w:p>
          <w:p w:rsidR="00D042B8" w:rsidRPr="009F73BF" w:rsidRDefault="00D042B8" w:rsidP="00D042B8">
            <w:pPr>
              <w:spacing w:after="0" w:line="240" w:lineRule="auto"/>
              <w:ind w:right="-342"/>
              <w:jc w:val="both"/>
              <w:rPr>
                <w:rFonts w:ascii="Times New Roman" w:hAnsi="Times New Roman"/>
                <w:sz w:val="18"/>
                <w:szCs w:val="18"/>
              </w:rPr>
            </w:pPr>
            <w:r w:rsidRPr="009F73BF">
              <w:rPr>
                <w:rFonts w:ascii="Times New Roman" w:hAnsi="Times New Roman"/>
                <w:sz w:val="18"/>
                <w:szCs w:val="18"/>
                <w:vertAlign w:val="superscript"/>
              </w:rPr>
              <w:t>2</w:t>
            </w:r>
            <w:r w:rsidRPr="009F73BF">
              <w:rPr>
                <w:rFonts w:ascii="Times New Roman" w:hAnsi="Times New Roman"/>
                <w:sz w:val="18"/>
                <w:szCs w:val="18"/>
              </w:rPr>
              <w:t xml:space="preserve"> – останні наявні дані Державної служби статистики України за 2020 рік (Статистичний збірник «Робоча сила України 2021», стор. 149, пп. 3.7. Середня тривалість пошуку роботи безробітними за статтю, типом місцевості по регіонах);</w:t>
            </w:r>
          </w:p>
          <w:p w:rsidR="00D042B8" w:rsidRDefault="00D042B8" w:rsidP="00D042B8">
            <w:pPr>
              <w:pStyle w:val="21"/>
              <w:tabs>
                <w:tab w:val="num" w:pos="0"/>
                <w:tab w:val="left" w:pos="540"/>
                <w:tab w:val="left" w:pos="1260"/>
                <w:tab w:val="num" w:pos="2340"/>
                <w:tab w:val="left" w:pos="3600"/>
              </w:tabs>
              <w:spacing w:after="0" w:line="240" w:lineRule="auto"/>
              <w:ind w:right="-342"/>
              <w:jc w:val="both"/>
              <w:rPr>
                <w:sz w:val="18"/>
                <w:szCs w:val="18"/>
              </w:rPr>
            </w:pPr>
            <w:r w:rsidRPr="009F73BF">
              <w:rPr>
                <w:sz w:val="18"/>
                <w:szCs w:val="18"/>
                <w:vertAlign w:val="superscript"/>
              </w:rPr>
              <w:t>3</w:t>
            </w:r>
            <w:r w:rsidRPr="009F73BF">
              <w:rPr>
                <w:sz w:val="18"/>
                <w:szCs w:val="18"/>
              </w:rPr>
              <w:t xml:space="preserve"> – останні дані Міністерства економіки Украї</w:t>
            </w:r>
            <w:r>
              <w:rPr>
                <w:sz w:val="18"/>
                <w:szCs w:val="18"/>
              </w:rPr>
              <w:t>ни за січень-вересень 2022 року;</w:t>
            </w:r>
          </w:p>
          <w:p w:rsidR="00D042B8" w:rsidRPr="009F73BF" w:rsidRDefault="00D042B8" w:rsidP="00D042B8">
            <w:pPr>
              <w:pStyle w:val="21"/>
              <w:tabs>
                <w:tab w:val="num" w:pos="0"/>
                <w:tab w:val="left" w:pos="540"/>
                <w:tab w:val="left" w:pos="1260"/>
                <w:tab w:val="num" w:pos="2340"/>
                <w:tab w:val="left" w:pos="3600"/>
              </w:tabs>
              <w:spacing w:after="0" w:line="240" w:lineRule="auto"/>
              <w:ind w:right="-342"/>
              <w:jc w:val="both"/>
              <w:rPr>
                <w:sz w:val="18"/>
                <w:szCs w:val="18"/>
              </w:rPr>
            </w:pPr>
            <w:r>
              <w:rPr>
                <w:sz w:val="18"/>
                <w:szCs w:val="18"/>
                <w:vertAlign w:val="superscript"/>
              </w:rPr>
              <w:t>4</w:t>
            </w:r>
            <w:r w:rsidRPr="009F73BF">
              <w:rPr>
                <w:sz w:val="18"/>
                <w:szCs w:val="18"/>
              </w:rPr>
              <w:t xml:space="preserve"> – останні </w:t>
            </w:r>
            <w:r>
              <w:rPr>
                <w:sz w:val="18"/>
                <w:szCs w:val="18"/>
              </w:rPr>
              <w:t xml:space="preserve">наявні </w:t>
            </w:r>
            <w:r w:rsidRPr="009F73BF">
              <w:rPr>
                <w:sz w:val="18"/>
                <w:szCs w:val="18"/>
              </w:rPr>
              <w:t>дані</w:t>
            </w:r>
            <w:r>
              <w:rPr>
                <w:sz w:val="18"/>
                <w:szCs w:val="18"/>
              </w:rPr>
              <w:t xml:space="preserve"> органів статистики за січень 2022 року.</w:t>
            </w:r>
          </w:p>
          <w:p w:rsidR="00D042B8" w:rsidRPr="00D042B8" w:rsidRDefault="00D042B8" w:rsidP="00D042B8">
            <w:pPr>
              <w:widowControl w:val="0"/>
              <w:spacing w:after="0" w:line="240" w:lineRule="auto"/>
              <w:jc w:val="both"/>
              <w:rPr>
                <w:rFonts w:ascii="Times New Roman" w:hAnsi="Times New Roman"/>
                <w:sz w:val="20"/>
                <w:szCs w:val="20"/>
                <w:lang w:val="uk-UA" w:eastAsia="ru-RU"/>
              </w:rPr>
            </w:pPr>
          </w:p>
        </w:tc>
      </w:tr>
      <w:tr w:rsidR="00DF26AE" w:rsidRPr="006765C5" w:rsidTr="001828BF">
        <w:tc>
          <w:tcPr>
            <w:tcW w:w="15310" w:type="dxa"/>
            <w:gridSpan w:val="6"/>
          </w:tcPr>
          <w:p w:rsidR="00DF26AE" w:rsidRDefault="00DF26AE" w:rsidP="001828BF">
            <w:pPr>
              <w:spacing w:after="0" w:line="240" w:lineRule="auto"/>
              <w:rPr>
                <w:rFonts w:ascii="Times New Roman" w:hAnsi="Times New Roman"/>
                <w:b/>
                <w:sz w:val="20"/>
                <w:szCs w:val="20"/>
                <w:lang w:val="uk-UA" w:eastAsia="ru-RU"/>
              </w:rPr>
            </w:pPr>
            <w:r w:rsidRPr="006765C5">
              <w:rPr>
                <w:rFonts w:ascii="Times New Roman" w:hAnsi="Times New Roman"/>
                <w:b/>
                <w:sz w:val="20"/>
                <w:szCs w:val="20"/>
                <w:lang w:val="uk-UA" w:eastAsia="ru-RU"/>
              </w:rPr>
              <w:t>Сектор 2.3. Соціальна підтримка та допомога</w:t>
            </w:r>
          </w:p>
          <w:p w:rsidR="00D042B8" w:rsidRPr="006765C5" w:rsidRDefault="00D042B8" w:rsidP="001828BF">
            <w:pPr>
              <w:spacing w:after="0" w:line="240" w:lineRule="auto"/>
              <w:rPr>
                <w:rFonts w:ascii="Times New Roman" w:hAnsi="Times New Roman"/>
                <w:sz w:val="20"/>
                <w:szCs w:val="20"/>
                <w:lang w:val="uk-UA"/>
              </w:rPr>
            </w:pPr>
          </w:p>
        </w:tc>
      </w:tr>
      <w:tr w:rsidR="00DF26AE" w:rsidRPr="006765C5" w:rsidTr="00D042B8">
        <w:tc>
          <w:tcPr>
            <w:tcW w:w="568" w:type="dxa"/>
          </w:tcPr>
          <w:p w:rsidR="00DF26AE" w:rsidRPr="006765C5" w:rsidRDefault="00A1489C" w:rsidP="001828BF">
            <w:pPr>
              <w:spacing w:after="0" w:line="240" w:lineRule="auto"/>
              <w:rPr>
                <w:rFonts w:ascii="Times New Roman" w:hAnsi="Times New Roman"/>
                <w:sz w:val="20"/>
                <w:szCs w:val="20"/>
                <w:lang w:val="uk-UA"/>
              </w:rPr>
            </w:pPr>
            <w:r>
              <w:rPr>
                <w:rFonts w:ascii="Times New Roman" w:hAnsi="Times New Roman"/>
                <w:sz w:val="20"/>
                <w:szCs w:val="20"/>
                <w:lang w:val="uk-UA"/>
              </w:rPr>
              <w:t>78</w:t>
            </w:r>
          </w:p>
        </w:tc>
        <w:tc>
          <w:tcPr>
            <w:tcW w:w="5776"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Кількість осіб, що отримають соціальну допомогу в спеціалізованому закладі психоневрологічного профілю для осіб з інвалідністю</w:t>
            </w:r>
          </w:p>
        </w:tc>
        <w:tc>
          <w:tcPr>
            <w:tcW w:w="155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осіб</w:t>
            </w:r>
          </w:p>
        </w:tc>
        <w:tc>
          <w:tcPr>
            <w:tcW w:w="1272"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w:t>
            </w:r>
          </w:p>
        </w:tc>
        <w:tc>
          <w:tcPr>
            <w:tcW w:w="1066" w:type="dxa"/>
            <w:vAlign w:val="center"/>
          </w:tcPr>
          <w:p w:rsidR="00DF26AE" w:rsidRPr="006765C5" w:rsidRDefault="00DF26AE" w:rsidP="006D6201">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w:t>
            </w:r>
          </w:p>
        </w:tc>
        <w:tc>
          <w:tcPr>
            <w:tcW w:w="5072" w:type="dxa"/>
            <w:vAlign w:val="center"/>
          </w:tcPr>
          <w:p w:rsidR="00DF26AE" w:rsidRPr="006765C5" w:rsidRDefault="00DF26AE" w:rsidP="00263C1E">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w:t>
            </w:r>
          </w:p>
        </w:tc>
      </w:tr>
      <w:tr w:rsidR="00DF26AE" w:rsidRPr="00A1489C" w:rsidTr="00D042B8">
        <w:tc>
          <w:tcPr>
            <w:tcW w:w="568" w:type="dxa"/>
          </w:tcPr>
          <w:p w:rsidR="00DF26AE" w:rsidRPr="006765C5" w:rsidRDefault="00A1489C" w:rsidP="001828BF">
            <w:pPr>
              <w:spacing w:after="0" w:line="240" w:lineRule="auto"/>
              <w:rPr>
                <w:rFonts w:ascii="Times New Roman" w:hAnsi="Times New Roman"/>
                <w:sz w:val="20"/>
                <w:szCs w:val="20"/>
                <w:lang w:val="uk-UA"/>
              </w:rPr>
            </w:pPr>
            <w:r>
              <w:rPr>
                <w:rFonts w:ascii="Times New Roman" w:hAnsi="Times New Roman"/>
                <w:sz w:val="20"/>
                <w:szCs w:val="20"/>
                <w:lang w:val="uk-UA"/>
              </w:rPr>
              <w:t>79</w:t>
            </w:r>
          </w:p>
        </w:tc>
        <w:tc>
          <w:tcPr>
            <w:tcW w:w="5776" w:type="dxa"/>
          </w:tcPr>
          <w:p w:rsidR="00DF26AE" w:rsidRPr="006765C5" w:rsidRDefault="00DF26AE" w:rsidP="00A1489C">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Щорічна матеріальна допомога киянам</w:t>
            </w:r>
            <w:r w:rsidR="00A1489C">
              <w:rPr>
                <w:rFonts w:ascii="Times New Roman" w:hAnsi="Times New Roman"/>
                <w:sz w:val="20"/>
                <w:szCs w:val="20"/>
                <w:lang w:val="uk-UA" w:eastAsia="ru-RU"/>
              </w:rPr>
              <w:t>-учасникам антитерористичної операції та киянам – постраждалим учасникам Революції Гідності.</w:t>
            </w:r>
          </w:p>
        </w:tc>
        <w:tc>
          <w:tcPr>
            <w:tcW w:w="155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осіб</w:t>
            </w:r>
          </w:p>
        </w:tc>
        <w:tc>
          <w:tcPr>
            <w:tcW w:w="1272" w:type="dxa"/>
            <w:vAlign w:val="center"/>
          </w:tcPr>
          <w:p w:rsidR="00DF26AE" w:rsidRPr="006765C5" w:rsidRDefault="00DF26AE" w:rsidP="00A1489C">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3</w:t>
            </w:r>
            <w:r w:rsidR="00A1489C">
              <w:rPr>
                <w:rFonts w:ascii="Times New Roman" w:hAnsi="Times New Roman"/>
                <w:sz w:val="20"/>
                <w:szCs w:val="20"/>
                <w:lang w:val="uk-UA" w:eastAsia="ru-RU"/>
              </w:rPr>
              <w:t>2025</w:t>
            </w:r>
          </w:p>
        </w:tc>
        <w:tc>
          <w:tcPr>
            <w:tcW w:w="1066" w:type="dxa"/>
            <w:vAlign w:val="center"/>
          </w:tcPr>
          <w:p w:rsidR="00DF26AE" w:rsidRPr="006765C5" w:rsidRDefault="00F7003A" w:rsidP="006D6201">
            <w:pPr>
              <w:spacing w:after="0" w:line="240" w:lineRule="auto"/>
              <w:jc w:val="center"/>
              <w:rPr>
                <w:rFonts w:ascii="Times New Roman" w:hAnsi="Times New Roman"/>
                <w:sz w:val="20"/>
                <w:szCs w:val="20"/>
                <w:lang w:val="uk-UA"/>
              </w:rPr>
            </w:pPr>
            <w:r>
              <w:rPr>
                <w:rFonts w:ascii="Times New Roman" w:hAnsi="Times New Roman"/>
                <w:sz w:val="20"/>
                <w:szCs w:val="20"/>
                <w:lang w:val="uk-UA"/>
              </w:rPr>
              <w:t>31623</w:t>
            </w:r>
          </w:p>
        </w:tc>
        <w:tc>
          <w:tcPr>
            <w:tcW w:w="5072" w:type="dxa"/>
            <w:vAlign w:val="center"/>
          </w:tcPr>
          <w:p w:rsidR="00DF26AE" w:rsidRPr="006765C5" w:rsidRDefault="00DF26AE" w:rsidP="00263C1E">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w:t>
            </w:r>
          </w:p>
        </w:tc>
      </w:tr>
      <w:tr w:rsidR="00DF26AE" w:rsidRPr="006765C5" w:rsidTr="00D042B8">
        <w:tc>
          <w:tcPr>
            <w:tcW w:w="568" w:type="dxa"/>
          </w:tcPr>
          <w:p w:rsidR="00DF26AE" w:rsidRPr="006765C5" w:rsidRDefault="00A1489C" w:rsidP="001828BF">
            <w:pPr>
              <w:spacing w:after="0" w:line="240" w:lineRule="auto"/>
              <w:rPr>
                <w:rFonts w:ascii="Times New Roman" w:hAnsi="Times New Roman"/>
                <w:sz w:val="20"/>
                <w:szCs w:val="20"/>
                <w:lang w:val="uk-UA"/>
              </w:rPr>
            </w:pPr>
            <w:r>
              <w:rPr>
                <w:rFonts w:ascii="Times New Roman" w:hAnsi="Times New Roman"/>
                <w:sz w:val="20"/>
                <w:szCs w:val="20"/>
                <w:lang w:val="uk-UA"/>
              </w:rPr>
              <w:lastRenderedPageBreak/>
              <w:t>8</w:t>
            </w:r>
            <w:r w:rsidR="00DF26AE" w:rsidRPr="006765C5">
              <w:rPr>
                <w:rFonts w:ascii="Times New Roman" w:hAnsi="Times New Roman"/>
                <w:sz w:val="20"/>
                <w:szCs w:val="20"/>
                <w:lang w:val="uk-UA"/>
              </w:rPr>
              <w:t>0</w:t>
            </w:r>
          </w:p>
        </w:tc>
        <w:tc>
          <w:tcPr>
            <w:tcW w:w="5776" w:type="dxa"/>
          </w:tcPr>
          <w:p w:rsidR="00DF26AE" w:rsidRPr="006765C5" w:rsidRDefault="00DF26AE" w:rsidP="00A1489C">
            <w:pPr>
              <w:spacing w:after="0"/>
              <w:rPr>
                <w:rFonts w:ascii="Times New Roman" w:hAnsi="Times New Roman"/>
                <w:sz w:val="20"/>
                <w:szCs w:val="20"/>
                <w:lang w:val="uk-UA" w:eastAsia="ru-RU"/>
              </w:rPr>
            </w:pPr>
            <w:r w:rsidRPr="006765C5">
              <w:rPr>
                <w:rFonts w:ascii="Times New Roman" w:hAnsi="Times New Roman"/>
                <w:sz w:val="20"/>
                <w:szCs w:val="20"/>
                <w:lang w:val="uk-UA" w:eastAsia="ru-RU"/>
              </w:rPr>
              <w:t xml:space="preserve">Кількість отримувачів соціальних послуг </w:t>
            </w:r>
          </w:p>
        </w:tc>
        <w:tc>
          <w:tcPr>
            <w:tcW w:w="1556" w:type="dxa"/>
            <w:vAlign w:val="center"/>
          </w:tcPr>
          <w:p w:rsidR="00DF26AE" w:rsidRPr="006765C5" w:rsidRDefault="00A1489C" w:rsidP="001828BF">
            <w:pPr>
              <w:spacing w:after="0"/>
              <w:ind w:right="61"/>
              <w:jc w:val="center"/>
              <w:rPr>
                <w:rFonts w:ascii="Times New Roman" w:hAnsi="Times New Roman"/>
                <w:sz w:val="20"/>
                <w:szCs w:val="20"/>
                <w:lang w:val="uk-UA" w:eastAsia="ru-RU"/>
              </w:rPr>
            </w:pPr>
            <w:r>
              <w:rPr>
                <w:rFonts w:ascii="Times New Roman" w:hAnsi="Times New Roman"/>
                <w:sz w:val="20"/>
                <w:szCs w:val="20"/>
                <w:lang w:val="uk-UA" w:eastAsia="ru-RU"/>
              </w:rPr>
              <w:t xml:space="preserve">тис. </w:t>
            </w:r>
            <w:r w:rsidR="00DF26AE" w:rsidRPr="006765C5">
              <w:rPr>
                <w:rFonts w:ascii="Times New Roman" w:hAnsi="Times New Roman"/>
                <w:sz w:val="20"/>
                <w:szCs w:val="20"/>
                <w:lang w:val="uk-UA" w:eastAsia="ru-RU"/>
              </w:rPr>
              <w:t xml:space="preserve">осіб </w:t>
            </w:r>
          </w:p>
        </w:tc>
        <w:tc>
          <w:tcPr>
            <w:tcW w:w="1272" w:type="dxa"/>
            <w:vAlign w:val="center"/>
          </w:tcPr>
          <w:p w:rsidR="00DF26AE" w:rsidRPr="006765C5" w:rsidRDefault="00A1489C" w:rsidP="00A1489C">
            <w:pPr>
              <w:spacing w:after="0"/>
              <w:ind w:right="58"/>
              <w:jc w:val="center"/>
              <w:rPr>
                <w:rFonts w:ascii="Times New Roman" w:hAnsi="Times New Roman"/>
                <w:sz w:val="20"/>
                <w:szCs w:val="20"/>
                <w:lang w:val="uk-UA" w:eastAsia="ru-RU"/>
              </w:rPr>
            </w:pPr>
            <w:r>
              <w:rPr>
                <w:rFonts w:ascii="Times New Roman" w:hAnsi="Times New Roman"/>
                <w:sz w:val="20"/>
                <w:szCs w:val="20"/>
                <w:lang w:val="uk-UA" w:eastAsia="ru-RU"/>
              </w:rPr>
              <w:t>23,5</w:t>
            </w:r>
            <w:r w:rsidR="00DF26AE" w:rsidRPr="006765C5">
              <w:rPr>
                <w:rFonts w:ascii="Times New Roman" w:hAnsi="Times New Roman"/>
                <w:sz w:val="20"/>
                <w:szCs w:val="20"/>
                <w:lang w:val="uk-UA" w:eastAsia="ru-RU"/>
              </w:rPr>
              <w:t xml:space="preserve"> </w:t>
            </w:r>
          </w:p>
        </w:tc>
        <w:tc>
          <w:tcPr>
            <w:tcW w:w="1066" w:type="dxa"/>
            <w:vAlign w:val="center"/>
          </w:tcPr>
          <w:p w:rsidR="00DF26AE" w:rsidRPr="006765C5" w:rsidRDefault="00F7003A" w:rsidP="001828BF">
            <w:pPr>
              <w:spacing w:after="0"/>
              <w:jc w:val="center"/>
              <w:rPr>
                <w:rFonts w:ascii="Times New Roman" w:hAnsi="Times New Roman"/>
                <w:sz w:val="20"/>
                <w:szCs w:val="20"/>
                <w:lang w:val="uk-UA" w:eastAsia="ru-RU"/>
              </w:rPr>
            </w:pPr>
            <w:r>
              <w:rPr>
                <w:rFonts w:ascii="Times New Roman" w:hAnsi="Times New Roman"/>
                <w:sz w:val="20"/>
                <w:szCs w:val="20"/>
                <w:lang w:val="uk-UA" w:eastAsia="ru-RU"/>
              </w:rPr>
              <w:t>26,3</w:t>
            </w:r>
          </w:p>
        </w:tc>
        <w:tc>
          <w:tcPr>
            <w:tcW w:w="5072" w:type="dxa"/>
            <w:vAlign w:val="center"/>
          </w:tcPr>
          <w:p w:rsidR="00DF26AE" w:rsidRPr="00A1489C" w:rsidRDefault="00DF26AE" w:rsidP="0017280C">
            <w:pPr>
              <w:spacing w:after="0" w:line="240" w:lineRule="auto"/>
              <w:jc w:val="center"/>
              <w:rPr>
                <w:rFonts w:ascii="Times New Roman" w:hAnsi="Times New Roman"/>
                <w:sz w:val="20"/>
                <w:szCs w:val="20"/>
                <w:lang w:eastAsia="ru-RU"/>
              </w:rPr>
            </w:pPr>
            <w:r w:rsidRPr="00A1489C">
              <w:rPr>
                <w:rFonts w:ascii="Times New Roman" w:hAnsi="Times New Roman"/>
                <w:sz w:val="20"/>
                <w:szCs w:val="20"/>
                <w:lang w:eastAsia="ru-RU"/>
              </w:rPr>
              <w:t>-</w:t>
            </w:r>
          </w:p>
        </w:tc>
      </w:tr>
      <w:tr w:rsidR="00DF26AE" w:rsidRPr="006765C5" w:rsidTr="00D042B8">
        <w:tc>
          <w:tcPr>
            <w:tcW w:w="568" w:type="dxa"/>
          </w:tcPr>
          <w:p w:rsidR="00DF26AE" w:rsidRPr="006765C5" w:rsidRDefault="00A1489C" w:rsidP="001828BF">
            <w:pPr>
              <w:spacing w:after="0" w:line="240" w:lineRule="auto"/>
              <w:rPr>
                <w:rFonts w:ascii="Times New Roman" w:hAnsi="Times New Roman"/>
                <w:sz w:val="20"/>
                <w:szCs w:val="20"/>
                <w:lang w:val="uk-UA"/>
              </w:rPr>
            </w:pPr>
            <w:r>
              <w:rPr>
                <w:rFonts w:ascii="Times New Roman" w:hAnsi="Times New Roman"/>
                <w:sz w:val="20"/>
                <w:szCs w:val="20"/>
                <w:lang w:val="uk-UA"/>
              </w:rPr>
              <w:t>8</w:t>
            </w:r>
            <w:r w:rsidR="00DF26AE" w:rsidRPr="006765C5">
              <w:rPr>
                <w:rFonts w:ascii="Times New Roman" w:hAnsi="Times New Roman"/>
                <w:sz w:val="20"/>
                <w:szCs w:val="20"/>
                <w:lang w:val="uk-UA"/>
              </w:rPr>
              <w:t>1</w:t>
            </w:r>
          </w:p>
        </w:tc>
        <w:tc>
          <w:tcPr>
            <w:tcW w:w="5776" w:type="dxa"/>
          </w:tcPr>
          <w:p w:rsidR="00DF26AE" w:rsidRPr="006765C5" w:rsidRDefault="00DF26AE" w:rsidP="00A1489C">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Кількість</w:t>
            </w:r>
            <w:r w:rsidR="00A1489C">
              <w:rPr>
                <w:rFonts w:ascii="Times New Roman" w:hAnsi="Times New Roman"/>
                <w:sz w:val="20"/>
                <w:szCs w:val="20"/>
                <w:lang w:val="uk-UA" w:eastAsia="ru-RU"/>
              </w:rPr>
              <w:t xml:space="preserve"> заходів </w:t>
            </w:r>
            <w:r w:rsidRPr="006765C5">
              <w:rPr>
                <w:rFonts w:ascii="Times New Roman" w:hAnsi="Times New Roman"/>
                <w:sz w:val="20"/>
                <w:szCs w:val="20"/>
                <w:lang w:val="uk-UA" w:eastAsia="ru-RU"/>
              </w:rPr>
              <w:t xml:space="preserve"> соціальн</w:t>
            </w:r>
            <w:r w:rsidR="00A1489C">
              <w:rPr>
                <w:rFonts w:ascii="Times New Roman" w:hAnsi="Times New Roman"/>
                <w:sz w:val="20"/>
                <w:szCs w:val="20"/>
                <w:lang w:val="uk-UA" w:eastAsia="ru-RU"/>
              </w:rPr>
              <w:t>их</w:t>
            </w:r>
            <w:r w:rsidRPr="006765C5">
              <w:rPr>
                <w:rFonts w:ascii="Times New Roman" w:hAnsi="Times New Roman"/>
                <w:sz w:val="20"/>
                <w:szCs w:val="20"/>
                <w:lang w:val="uk-UA" w:eastAsia="ru-RU"/>
              </w:rPr>
              <w:t xml:space="preserve"> послуг </w:t>
            </w:r>
          </w:p>
        </w:tc>
        <w:tc>
          <w:tcPr>
            <w:tcW w:w="1556" w:type="dxa"/>
          </w:tcPr>
          <w:p w:rsidR="00DF26AE" w:rsidRPr="006765C5" w:rsidRDefault="00DF26AE" w:rsidP="00A1489C">
            <w:pPr>
              <w:widowControl w:val="0"/>
              <w:spacing w:after="0" w:line="240" w:lineRule="auto"/>
              <w:ind w:right="58"/>
              <w:jc w:val="center"/>
              <w:rPr>
                <w:rFonts w:ascii="Times New Roman" w:hAnsi="Times New Roman"/>
                <w:sz w:val="20"/>
                <w:szCs w:val="20"/>
                <w:lang w:val="uk-UA" w:eastAsia="ru-RU"/>
              </w:rPr>
            </w:pPr>
            <w:r w:rsidRPr="006765C5">
              <w:rPr>
                <w:rFonts w:ascii="Times New Roman" w:hAnsi="Times New Roman"/>
                <w:sz w:val="20"/>
                <w:szCs w:val="20"/>
                <w:lang w:val="uk-UA" w:eastAsia="ru-RU"/>
              </w:rPr>
              <w:t xml:space="preserve">тис. </w:t>
            </w:r>
            <w:r w:rsidR="00A1489C">
              <w:rPr>
                <w:rFonts w:ascii="Times New Roman" w:hAnsi="Times New Roman"/>
                <w:sz w:val="20"/>
                <w:szCs w:val="20"/>
                <w:lang w:val="uk-UA" w:eastAsia="ru-RU"/>
              </w:rPr>
              <w:t>заходів</w:t>
            </w:r>
            <w:r w:rsidRPr="006765C5">
              <w:rPr>
                <w:rFonts w:ascii="Times New Roman" w:hAnsi="Times New Roman"/>
                <w:sz w:val="20"/>
                <w:szCs w:val="20"/>
                <w:lang w:val="uk-UA" w:eastAsia="ru-RU"/>
              </w:rPr>
              <w:t xml:space="preserve"> </w:t>
            </w:r>
          </w:p>
        </w:tc>
        <w:tc>
          <w:tcPr>
            <w:tcW w:w="1272" w:type="dxa"/>
          </w:tcPr>
          <w:p w:rsidR="00DF26AE" w:rsidRPr="006765C5" w:rsidRDefault="00A1489C" w:rsidP="00A1489C">
            <w:pPr>
              <w:widowControl w:val="0"/>
              <w:spacing w:after="0" w:line="240" w:lineRule="auto"/>
              <w:ind w:right="55"/>
              <w:jc w:val="center"/>
              <w:rPr>
                <w:rFonts w:ascii="Times New Roman" w:hAnsi="Times New Roman"/>
                <w:sz w:val="20"/>
                <w:szCs w:val="20"/>
                <w:lang w:val="uk-UA" w:eastAsia="ru-RU"/>
              </w:rPr>
            </w:pPr>
            <w:r>
              <w:rPr>
                <w:rFonts w:ascii="Times New Roman" w:hAnsi="Times New Roman"/>
                <w:sz w:val="20"/>
                <w:szCs w:val="20"/>
                <w:lang w:val="uk-UA" w:eastAsia="ru-RU"/>
              </w:rPr>
              <w:t>4000,0</w:t>
            </w:r>
          </w:p>
        </w:tc>
        <w:tc>
          <w:tcPr>
            <w:tcW w:w="1066" w:type="dxa"/>
          </w:tcPr>
          <w:p w:rsidR="00DF26AE" w:rsidRPr="006765C5" w:rsidRDefault="00F7003A" w:rsidP="009415F0">
            <w:pPr>
              <w:widowControl w:val="0"/>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5015,1</w:t>
            </w:r>
          </w:p>
        </w:tc>
        <w:tc>
          <w:tcPr>
            <w:tcW w:w="5072" w:type="dxa"/>
          </w:tcPr>
          <w:p w:rsidR="00DF26AE" w:rsidRPr="006765C5" w:rsidRDefault="00DF26AE" w:rsidP="009415F0">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w:t>
            </w:r>
          </w:p>
        </w:tc>
      </w:tr>
      <w:tr w:rsidR="00DF26AE" w:rsidRPr="006765C5" w:rsidTr="00D042B8">
        <w:tc>
          <w:tcPr>
            <w:tcW w:w="568" w:type="dxa"/>
          </w:tcPr>
          <w:p w:rsidR="00DF26AE" w:rsidRPr="006765C5" w:rsidRDefault="000868B6" w:rsidP="001828BF">
            <w:pPr>
              <w:spacing w:after="0" w:line="240" w:lineRule="auto"/>
              <w:rPr>
                <w:rFonts w:ascii="Times New Roman" w:hAnsi="Times New Roman"/>
                <w:sz w:val="20"/>
                <w:szCs w:val="20"/>
                <w:lang w:val="uk-UA"/>
              </w:rPr>
            </w:pPr>
            <w:r>
              <w:rPr>
                <w:rFonts w:ascii="Times New Roman" w:hAnsi="Times New Roman"/>
                <w:sz w:val="20"/>
                <w:szCs w:val="20"/>
                <w:lang w:val="uk-UA"/>
              </w:rPr>
              <w:t>82</w:t>
            </w:r>
          </w:p>
        </w:tc>
        <w:tc>
          <w:tcPr>
            <w:tcW w:w="5776"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 xml:space="preserve">Кількість осіб з інвалідністю – отримувачів послуг професійної та трудової реабілітації на безоплатній основі </w:t>
            </w:r>
          </w:p>
        </w:tc>
        <w:tc>
          <w:tcPr>
            <w:tcW w:w="155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осіб</w:t>
            </w:r>
          </w:p>
        </w:tc>
        <w:tc>
          <w:tcPr>
            <w:tcW w:w="1272" w:type="dxa"/>
            <w:vAlign w:val="center"/>
          </w:tcPr>
          <w:p w:rsidR="00DF26AE" w:rsidRPr="006765C5" w:rsidRDefault="00DF26AE" w:rsidP="000868B6">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5</w:t>
            </w:r>
            <w:r w:rsidR="000868B6">
              <w:rPr>
                <w:rFonts w:ascii="Times New Roman" w:hAnsi="Times New Roman"/>
                <w:sz w:val="20"/>
                <w:szCs w:val="20"/>
                <w:lang w:val="uk-UA" w:eastAsia="ru-RU"/>
              </w:rPr>
              <w:t>2</w:t>
            </w:r>
            <w:r w:rsidRPr="006765C5">
              <w:rPr>
                <w:rFonts w:ascii="Times New Roman" w:hAnsi="Times New Roman"/>
                <w:sz w:val="20"/>
                <w:szCs w:val="20"/>
                <w:lang w:val="uk-UA" w:eastAsia="ru-RU"/>
              </w:rPr>
              <w:t>0</w:t>
            </w:r>
          </w:p>
        </w:tc>
        <w:tc>
          <w:tcPr>
            <w:tcW w:w="1066" w:type="dxa"/>
            <w:vAlign w:val="center"/>
          </w:tcPr>
          <w:p w:rsidR="00DF26AE" w:rsidRPr="00F7003A" w:rsidRDefault="00F7003A" w:rsidP="004160B6">
            <w:pPr>
              <w:spacing w:after="0" w:line="240" w:lineRule="auto"/>
              <w:jc w:val="center"/>
              <w:rPr>
                <w:rFonts w:ascii="Times New Roman" w:hAnsi="Times New Roman"/>
                <w:sz w:val="20"/>
                <w:szCs w:val="20"/>
                <w:lang w:val="uk-UA"/>
              </w:rPr>
            </w:pPr>
            <w:r>
              <w:rPr>
                <w:rFonts w:ascii="Times New Roman" w:hAnsi="Times New Roman"/>
                <w:sz w:val="20"/>
                <w:szCs w:val="20"/>
                <w:lang w:val="uk-UA"/>
              </w:rPr>
              <w:t>514</w:t>
            </w:r>
          </w:p>
        </w:tc>
        <w:tc>
          <w:tcPr>
            <w:tcW w:w="5072" w:type="dxa"/>
          </w:tcPr>
          <w:p w:rsidR="00DF26AE" w:rsidRPr="006765C5" w:rsidRDefault="00D20F7C" w:rsidP="001828BF">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r>
      <w:tr w:rsidR="00DF26AE" w:rsidRPr="00A1489C" w:rsidTr="00D042B8">
        <w:tc>
          <w:tcPr>
            <w:tcW w:w="568" w:type="dxa"/>
          </w:tcPr>
          <w:p w:rsidR="00DF26AE" w:rsidRPr="006765C5" w:rsidRDefault="00235D77" w:rsidP="001828BF">
            <w:pPr>
              <w:spacing w:after="0" w:line="240" w:lineRule="auto"/>
              <w:rPr>
                <w:rFonts w:ascii="Times New Roman" w:hAnsi="Times New Roman"/>
                <w:sz w:val="20"/>
                <w:szCs w:val="20"/>
                <w:lang w:val="uk-UA"/>
              </w:rPr>
            </w:pPr>
            <w:r>
              <w:rPr>
                <w:rFonts w:ascii="Times New Roman" w:hAnsi="Times New Roman"/>
                <w:sz w:val="20"/>
                <w:szCs w:val="20"/>
                <w:lang w:val="uk-UA"/>
              </w:rPr>
              <w:t>83</w:t>
            </w:r>
          </w:p>
        </w:tc>
        <w:tc>
          <w:tcPr>
            <w:tcW w:w="5776"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Активні багатофункціональні електронні картки «Муніципальна картка «Картка киянина»</w:t>
            </w:r>
          </w:p>
        </w:tc>
        <w:tc>
          <w:tcPr>
            <w:tcW w:w="1556" w:type="dxa"/>
            <w:vAlign w:val="center"/>
          </w:tcPr>
          <w:p w:rsidR="00DF26AE" w:rsidRPr="006765C5" w:rsidRDefault="00235D77" w:rsidP="001828BF">
            <w:pPr>
              <w:widowControl w:val="0"/>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тис.</w:t>
            </w:r>
            <w:r w:rsidR="00DF26AE" w:rsidRPr="006765C5">
              <w:rPr>
                <w:rFonts w:ascii="Times New Roman" w:hAnsi="Times New Roman"/>
                <w:sz w:val="20"/>
                <w:szCs w:val="20"/>
                <w:lang w:val="uk-UA" w:eastAsia="ru-RU"/>
              </w:rPr>
              <w:t>од.</w:t>
            </w:r>
          </w:p>
        </w:tc>
        <w:tc>
          <w:tcPr>
            <w:tcW w:w="1272" w:type="dxa"/>
            <w:vAlign w:val="center"/>
          </w:tcPr>
          <w:p w:rsidR="00DF26AE" w:rsidRPr="005801B3" w:rsidRDefault="00DF26AE" w:rsidP="00235D77">
            <w:pPr>
              <w:widowControl w:val="0"/>
              <w:spacing w:after="0" w:line="240" w:lineRule="auto"/>
              <w:jc w:val="center"/>
              <w:rPr>
                <w:rFonts w:ascii="Times New Roman" w:hAnsi="Times New Roman"/>
                <w:sz w:val="20"/>
                <w:szCs w:val="20"/>
                <w:lang w:val="uk-UA" w:eastAsia="ru-RU"/>
              </w:rPr>
            </w:pPr>
            <w:r w:rsidRPr="005801B3">
              <w:rPr>
                <w:rFonts w:ascii="Times New Roman" w:hAnsi="Times New Roman"/>
                <w:sz w:val="20"/>
                <w:szCs w:val="20"/>
                <w:lang w:val="uk-UA" w:eastAsia="ru-RU"/>
              </w:rPr>
              <w:t>7</w:t>
            </w:r>
            <w:r w:rsidR="00235D77" w:rsidRPr="005801B3">
              <w:rPr>
                <w:rFonts w:ascii="Times New Roman" w:hAnsi="Times New Roman"/>
                <w:sz w:val="20"/>
                <w:szCs w:val="20"/>
                <w:lang w:val="uk-UA" w:eastAsia="ru-RU"/>
              </w:rPr>
              <w:t>90,0</w:t>
            </w:r>
          </w:p>
        </w:tc>
        <w:tc>
          <w:tcPr>
            <w:tcW w:w="1066" w:type="dxa"/>
            <w:vAlign w:val="center"/>
          </w:tcPr>
          <w:p w:rsidR="00DF26AE" w:rsidRPr="006765C5" w:rsidRDefault="005801B3" w:rsidP="001472CA">
            <w:pPr>
              <w:widowControl w:val="0"/>
              <w:spacing w:after="0" w:line="240" w:lineRule="auto"/>
              <w:jc w:val="center"/>
              <w:rPr>
                <w:rFonts w:ascii="Times New Roman" w:hAnsi="Times New Roman"/>
                <w:sz w:val="20"/>
                <w:szCs w:val="20"/>
                <w:lang w:val="uk-UA"/>
              </w:rPr>
            </w:pPr>
            <w:r>
              <w:rPr>
                <w:rFonts w:ascii="Times New Roman" w:hAnsi="Times New Roman"/>
                <w:sz w:val="20"/>
                <w:szCs w:val="20"/>
                <w:lang w:val="uk-UA"/>
              </w:rPr>
              <w:t>729,8</w:t>
            </w:r>
          </w:p>
        </w:tc>
        <w:tc>
          <w:tcPr>
            <w:tcW w:w="5072" w:type="dxa"/>
          </w:tcPr>
          <w:p w:rsidR="00DF26AE" w:rsidRPr="006765C5" w:rsidRDefault="00D20F7C" w:rsidP="00D20F7C">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r>
      <w:tr w:rsidR="00DF26AE" w:rsidRPr="006765C5" w:rsidTr="00D042B8">
        <w:tc>
          <w:tcPr>
            <w:tcW w:w="568" w:type="dxa"/>
          </w:tcPr>
          <w:p w:rsidR="00DF26AE" w:rsidRPr="006765C5" w:rsidRDefault="00F25A3D" w:rsidP="001828BF">
            <w:pPr>
              <w:spacing w:after="0" w:line="240" w:lineRule="auto"/>
              <w:rPr>
                <w:rFonts w:ascii="Times New Roman" w:hAnsi="Times New Roman"/>
                <w:sz w:val="20"/>
                <w:szCs w:val="20"/>
                <w:lang w:val="uk-UA"/>
              </w:rPr>
            </w:pPr>
            <w:r>
              <w:rPr>
                <w:rFonts w:ascii="Times New Roman" w:hAnsi="Times New Roman"/>
                <w:sz w:val="20"/>
                <w:szCs w:val="20"/>
                <w:lang w:val="uk-UA"/>
              </w:rPr>
              <w:t>84</w:t>
            </w:r>
          </w:p>
        </w:tc>
        <w:tc>
          <w:tcPr>
            <w:tcW w:w="5776"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Щомісячна адресна допомога внутрішньо переміщеним особам</w:t>
            </w:r>
          </w:p>
        </w:tc>
        <w:tc>
          <w:tcPr>
            <w:tcW w:w="155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тис. грн</w:t>
            </w:r>
          </w:p>
        </w:tc>
        <w:tc>
          <w:tcPr>
            <w:tcW w:w="1272" w:type="dxa"/>
            <w:vAlign w:val="center"/>
          </w:tcPr>
          <w:p w:rsidR="00DF26AE" w:rsidRPr="006765C5" w:rsidRDefault="00DF26AE" w:rsidP="00F25A3D">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4</w:t>
            </w:r>
            <w:r w:rsidR="00F25A3D">
              <w:rPr>
                <w:rFonts w:ascii="Times New Roman" w:hAnsi="Times New Roman"/>
                <w:sz w:val="20"/>
                <w:szCs w:val="20"/>
                <w:lang w:val="uk-UA" w:eastAsia="ru-RU"/>
              </w:rPr>
              <w:t>2</w:t>
            </w:r>
            <w:r w:rsidRPr="006765C5">
              <w:rPr>
                <w:rFonts w:ascii="Times New Roman" w:hAnsi="Times New Roman"/>
                <w:sz w:val="20"/>
                <w:szCs w:val="20"/>
                <w:lang w:val="uk-UA" w:eastAsia="ru-RU"/>
              </w:rPr>
              <w:t>0000</w:t>
            </w:r>
            <w:r w:rsidR="00D20F7C">
              <w:rPr>
                <w:rFonts w:ascii="Times New Roman" w:hAnsi="Times New Roman"/>
                <w:sz w:val="20"/>
                <w:szCs w:val="20"/>
                <w:lang w:val="uk-UA" w:eastAsia="ru-RU"/>
              </w:rPr>
              <w:t>,0</w:t>
            </w:r>
          </w:p>
        </w:tc>
        <w:tc>
          <w:tcPr>
            <w:tcW w:w="1066" w:type="dxa"/>
          </w:tcPr>
          <w:p w:rsidR="00DF26AE" w:rsidRPr="006765C5" w:rsidRDefault="00F7003A" w:rsidP="001828BF">
            <w:pPr>
              <w:spacing w:after="0" w:line="240" w:lineRule="auto"/>
              <w:jc w:val="center"/>
              <w:rPr>
                <w:rFonts w:ascii="Times New Roman" w:hAnsi="Times New Roman"/>
                <w:sz w:val="20"/>
                <w:szCs w:val="20"/>
                <w:lang w:val="uk-UA"/>
              </w:rPr>
            </w:pPr>
            <w:r>
              <w:rPr>
                <w:rFonts w:ascii="Times New Roman" w:hAnsi="Times New Roman"/>
                <w:sz w:val="20"/>
                <w:szCs w:val="20"/>
                <w:lang w:val="uk-UA"/>
              </w:rPr>
              <w:t>2786308,0</w:t>
            </w:r>
          </w:p>
        </w:tc>
        <w:tc>
          <w:tcPr>
            <w:tcW w:w="5072" w:type="dxa"/>
          </w:tcPr>
          <w:p w:rsidR="00DF26AE" w:rsidRPr="006765C5" w:rsidRDefault="00D20F7C" w:rsidP="001828BF">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r>
      <w:tr w:rsidR="00DF26AE" w:rsidRPr="006765C5" w:rsidTr="00D042B8">
        <w:tc>
          <w:tcPr>
            <w:tcW w:w="568" w:type="dxa"/>
          </w:tcPr>
          <w:p w:rsidR="00DF26AE" w:rsidRPr="006765C5" w:rsidRDefault="006837CF" w:rsidP="006837CF">
            <w:pPr>
              <w:spacing w:after="0" w:line="240" w:lineRule="auto"/>
              <w:rPr>
                <w:rFonts w:ascii="Times New Roman" w:hAnsi="Times New Roman"/>
                <w:sz w:val="20"/>
                <w:szCs w:val="20"/>
                <w:lang w:val="uk-UA"/>
              </w:rPr>
            </w:pPr>
            <w:r>
              <w:rPr>
                <w:rFonts w:ascii="Times New Roman" w:hAnsi="Times New Roman"/>
                <w:sz w:val="20"/>
                <w:szCs w:val="20"/>
                <w:lang w:val="uk-UA"/>
              </w:rPr>
              <w:t>85</w:t>
            </w:r>
          </w:p>
        </w:tc>
        <w:tc>
          <w:tcPr>
            <w:tcW w:w="5776"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Кількість  внутрішньо переміщених осіб</w:t>
            </w:r>
          </w:p>
        </w:tc>
        <w:tc>
          <w:tcPr>
            <w:tcW w:w="1556" w:type="dxa"/>
            <w:vAlign w:val="center"/>
          </w:tcPr>
          <w:p w:rsidR="00DF26AE" w:rsidRPr="006765C5" w:rsidRDefault="007237ED" w:rsidP="001828BF">
            <w:pPr>
              <w:widowControl w:val="0"/>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тис.</w:t>
            </w:r>
            <w:r w:rsidR="00DF26AE" w:rsidRPr="006765C5">
              <w:rPr>
                <w:rFonts w:ascii="Times New Roman" w:hAnsi="Times New Roman"/>
                <w:sz w:val="20"/>
                <w:szCs w:val="20"/>
                <w:lang w:val="uk-UA" w:eastAsia="ru-RU"/>
              </w:rPr>
              <w:t>осіб</w:t>
            </w:r>
          </w:p>
        </w:tc>
        <w:tc>
          <w:tcPr>
            <w:tcW w:w="1272" w:type="dxa"/>
            <w:vAlign w:val="center"/>
          </w:tcPr>
          <w:p w:rsidR="00DF26AE" w:rsidRPr="006765C5" w:rsidRDefault="007237ED" w:rsidP="007237ED">
            <w:pPr>
              <w:widowControl w:val="0"/>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175,0</w:t>
            </w:r>
          </w:p>
        </w:tc>
        <w:tc>
          <w:tcPr>
            <w:tcW w:w="1066" w:type="dxa"/>
          </w:tcPr>
          <w:p w:rsidR="00DF26AE" w:rsidRPr="006765C5" w:rsidRDefault="00F7003A" w:rsidP="001828BF">
            <w:pPr>
              <w:spacing w:after="0" w:line="240" w:lineRule="auto"/>
              <w:jc w:val="center"/>
              <w:rPr>
                <w:rFonts w:ascii="Times New Roman" w:hAnsi="Times New Roman"/>
                <w:sz w:val="20"/>
                <w:szCs w:val="20"/>
                <w:lang w:val="uk-UA"/>
              </w:rPr>
            </w:pPr>
            <w:r>
              <w:rPr>
                <w:rFonts w:ascii="Times New Roman" w:hAnsi="Times New Roman"/>
                <w:sz w:val="20"/>
                <w:szCs w:val="20"/>
                <w:lang w:val="uk-UA"/>
              </w:rPr>
              <w:t>369,9</w:t>
            </w:r>
          </w:p>
        </w:tc>
        <w:tc>
          <w:tcPr>
            <w:tcW w:w="5072" w:type="dxa"/>
          </w:tcPr>
          <w:p w:rsidR="00DF26AE" w:rsidRPr="006765C5" w:rsidRDefault="00D20F7C" w:rsidP="001828BF">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r>
      <w:tr w:rsidR="005801B3" w:rsidRPr="00A1489C" w:rsidTr="00D042B8">
        <w:tc>
          <w:tcPr>
            <w:tcW w:w="568" w:type="dxa"/>
          </w:tcPr>
          <w:p w:rsidR="005801B3" w:rsidRPr="006765C5" w:rsidRDefault="005801B3"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8</w:t>
            </w:r>
            <w:r>
              <w:rPr>
                <w:rFonts w:ascii="Times New Roman" w:hAnsi="Times New Roman"/>
                <w:sz w:val="20"/>
                <w:szCs w:val="20"/>
                <w:lang w:val="uk-UA"/>
              </w:rPr>
              <w:t>6</w:t>
            </w:r>
          </w:p>
        </w:tc>
        <w:tc>
          <w:tcPr>
            <w:tcW w:w="5776" w:type="dxa"/>
            <w:vMerge w:val="restart"/>
          </w:tcPr>
          <w:p w:rsidR="005801B3" w:rsidRPr="006765C5" w:rsidRDefault="005801B3" w:rsidP="005801B3">
            <w:pPr>
              <w:widowControl w:val="0"/>
              <w:spacing w:after="0" w:line="240" w:lineRule="auto"/>
              <w:rPr>
                <w:rFonts w:ascii="Times New Roman" w:hAnsi="Times New Roman"/>
                <w:sz w:val="20"/>
                <w:szCs w:val="20"/>
                <w:lang w:val="uk-UA"/>
              </w:rPr>
            </w:pPr>
            <w:r w:rsidRPr="005801B3">
              <w:rPr>
                <w:rFonts w:ascii="Times New Roman" w:hAnsi="Times New Roman"/>
                <w:spacing w:val="-2"/>
                <w:sz w:val="20"/>
                <w:szCs w:val="20"/>
                <w:lang w:val="uk-UA" w:eastAsia="ru-RU"/>
              </w:rPr>
              <w:t>Кількість громадських об'єднань, з якими здійснюється співпраця за програмою «Соціальне партнерство», та кількість реалізованих ними проєктів, що мають соціальну спрямованість</w:t>
            </w:r>
          </w:p>
        </w:tc>
        <w:tc>
          <w:tcPr>
            <w:tcW w:w="1556" w:type="dxa"/>
            <w:vAlign w:val="center"/>
          </w:tcPr>
          <w:p w:rsidR="005801B3" w:rsidRPr="006765C5" w:rsidRDefault="005801B3" w:rsidP="001828BF">
            <w:pPr>
              <w:widowControl w:val="0"/>
              <w:spacing w:after="0" w:line="240" w:lineRule="auto"/>
              <w:jc w:val="center"/>
              <w:rPr>
                <w:rFonts w:ascii="Times New Roman" w:hAnsi="Times New Roman"/>
                <w:bCs/>
                <w:sz w:val="20"/>
                <w:szCs w:val="20"/>
                <w:lang w:val="uk-UA" w:eastAsia="ru-RU"/>
              </w:rPr>
            </w:pPr>
            <w:r w:rsidRPr="006765C5">
              <w:rPr>
                <w:rFonts w:ascii="Times New Roman" w:hAnsi="Times New Roman"/>
                <w:bCs/>
                <w:sz w:val="20"/>
                <w:szCs w:val="20"/>
                <w:lang w:val="uk-UA" w:eastAsia="ru-RU"/>
              </w:rPr>
              <w:t>од.</w:t>
            </w:r>
          </w:p>
        </w:tc>
        <w:tc>
          <w:tcPr>
            <w:tcW w:w="1272" w:type="dxa"/>
            <w:vAlign w:val="center"/>
          </w:tcPr>
          <w:p w:rsidR="005801B3" w:rsidRPr="005801B3" w:rsidRDefault="005801B3" w:rsidP="00734B92">
            <w:pPr>
              <w:widowControl w:val="0"/>
              <w:spacing w:after="0" w:line="240" w:lineRule="auto"/>
              <w:jc w:val="center"/>
              <w:rPr>
                <w:rFonts w:ascii="Times New Roman" w:hAnsi="Times New Roman"/>
                <w:bCs/>
                <w:sz w:val="20"/>
                <w:szCs w:val="20"/>
                <w:lang w:val="uk-UA" w:eastAsia="ru-RU"/>
              </w:rPr>
            </w:pPr>
            <w:r w:rsidRPr="005801B3">
              <w:rPr>
                <w:rFonts w:ascii="Times New Roman" w:hAnsi="Times New Roman"/>
                <w:bCs/>
                <w:sz w:val="20"/>
                <w:szCs w:val="20"/>
                <w:lang w:val="uk-UA" w:eastAsia="ru-RU"/>
              </w:rPr>
              <w:t>115</w:t>
            </w:r>
          </w:p>
        </w:tc>
        <w:tc>
          <w:tcPr>
            <w:tcW w:w="1066" w:type="dxa"/>
            <w:vAlign w:val="center"/>
          </w:tcPr>
          <w:p w:rsidR="005801B3" w:rsidRPr="006765C5" w:rsidRDefault="005801B3" w:rsidP="001828BF">
            <w:pPr>
              <w:widowControl w:val="0"/>
              <w:spacing w:after="0" w:line="240" w:lineRule="auto"/>
              <w:jc w:val="center"/>
              <w:rPr>
                <w:rFonts w:ascii="Times New Roman" w:hAnsi="Times New Roman"/>
                <w:bCs/>
                <w:sz w:val="20"/>
                <w:szCs w:val="20"/>
                <w:lang w:val="uk-UA" w:eastAsia="ru-RU"/>
              </w:rPr>
            </w:pPr>
            <w:r>
              <w:rPr>
                <w:rFonts w:ascii="Times New Roman" w:hAnsi="Times New Roman"/>
                <w:bCs/>
                <w:sz w:val="20"/>
                <w:szCs w:val="20"/>
                <w:lang w:val="uk-UA" w:eastAsia="ru-RU"/>
              </w:rPr>
              <w:t>12*</w:t>
            </w:r>
          </w:p>
        </w:tc>
        <w:tc>
          <w:tcPr>
            <w:tcW w:w="5072" w:type="dxa"/>
            <w:vMerge w:val="restart"/>
          </w:tcPr>
          <w:p w:rsidR="005801B3" w:rsidRPr="006765C5" w:rsidRDefault="005801B3" w:rsidP="0017280C">
            <w:pPr>
              <w:spacing w:after="0" w:line="240" w:lineRule="auto"/>
              <w:jc w:val="both"/>
              <w:rPr>
                <w:rFonts w:ascii="Times New Roman" w:hAnsi="Times New Roman"/>
                <w:sz w:val="20"/>
                <w:szCs w:val="20"/>
                <w:lang w:val="uk-UA"/>
              </w:rPr>
            </w:pPr>
            <w:r w:rsidRPr="00394B22">
              <w:rPr>
                <w:rFonts w:ascii="Times New Roman" w:hAnsi="Times New Roman"/>
                <w:color w:val="000000"/>
                <w:sz w:val="20"/>
                <w:szCs w:val="20"/>
                <w:lang w:val="uk-UA"/>
              </w:rPr>
              <w:t>На підставі Указу Президента «Про введення воєнного стану в Україні» від 24.02.2022 №64/2022 та довід</w:t>
            </w:r>
            <w:r>
              <w:rPr>
                <w:rFonts w:ascii="Times New Roman" w:hAnsi="Times New Roman"/>
                <w:color w:val="000000"/>
                <w:sz w:val="20"/>
                <w:szCs w:val="20"/>
                <w:lang w:val="uk-UA"/>
              </w:rPr>
              <w:t xml:space="preserve">ок </w:t>
            </w:r>
            <w:r w:rsidRPr="00394B22">
              <w:rPr>
                <w:rFonts w:ascii="Times New Roman" w:hAnsi="Times New Roman"/>
                <w:color w:val="000000"/>
                <w:sz w:val="20"/>
                <w:szCs w:val="20"/>
                <w:lang w:val="uk-UA"/>
              </w:rPr>
              <w:t>Департаменту фінансів виконавчого органу Київської міської ради (Київської міської державної адміністрації) планові помісячні кошторисні призначення скориговані на грудень 2022 року в повному обсязі</w:t>
            </w:r>
            <w:r>
              <w:rPr>
                <w:rFonts w:ascii="Times New Roman" w:hAnsi="Times New Roman"/>
                <w:color w:val="000000"/>
                <w:sz w:val="20"/>
                <w:szCs w:val="20"/>
                <w:lang w:val="uk-UA"/>
              </w:rPr>
              <w:t xml:space="preserve">. Протягом грудня 2022 року Департаментом фінансів не погоджено </w:t>
            </w:r>
            <w:r w:rsidRPr="00394B22">
              <w:rPr>
                <w:rFonts w:ascii="Times New Roman" w:hAnsi="Times New Roman"/>
                <w:color w:val="000000"/>
                <w:sz w:val="20"/>
                <w:szCs w:val="20"/>
                <w:lang w:val="uk-UA"/>
              </w:rPr>
              <w:t>мережу розпорядників і одержувачів коштів місцевого бюджету на 2022 рік</w:t>
            </w:r>
            <w:r>
              <w:rPr>
                <w:rFonts w:ascii="Times New Roman" w:hAnsi="Times New Roman"/>
                <w:color w:val="000000"/>
                <w:sz w:val="20"/>
                <w:szCs w:val="20"/>
                <w:lang w:val="uk-UA"/>
              </w:rPr>
              <w:t>.</w:t>
            </w:r>
          </w:p>
        </w:tc>
      </w:tr>
      <w:tr w:rsidR="005801B3" w:rsidRPr="006765C5" w:rsidTr="00D042B8">
        <w:tc>
          <w:tcPr>
            <w:tcW w:w="568" w:type="dxa"/>
          </w:tcPr>
          <w:p w:rsidR="005801B3" w:rsidRPr="006765C5" w:rsidRDefault="005801B3" w:rsidP="001828BF">
            <w:pPr>
              <w:spacing w:after="0" w:line="240" w:lineRule="auto"/>
              <w:rPr>
                <w:rFonts w:ascii="Times New Roman" w:hAnsi="Times New Roman"/>
                <w:sz w:val="20"/>
                <w:szCs w:val="20"/>
                <w:lang w:val="uk-UA"/>
              </w:rPr>
            </w:pPr>
            <w:r>
              <w:rPr>
                <w:rFonts w:ascii="Times New Roman" w:hAnsi="Times New Roman"/>
                <w:sz w:val="20"/>
                <w:szCs w:val="20"/>
                <w:lang w:val="uk-UA"/>
              </w:rPr>
              <w:t>87</w:t>
            </w:r>
          </w:p>
        </w:tc>
        <w:tc>
          <w:tcPr>
            <w:tcW w:w="5776" w:type="dxa"/>
            <w:vMerge/>
          </w:tcPr>
          <w:p w:rsidR="005801B3" w:rsidRPr="006765C5" w:rsidRDefault="005801B3" w:rsidP="001828BF">
            <w:pPr>
              <w:spacing w:after="0" w:line="240" w:lineRule="auto"/>
              <w:jc w:val="center"/>
              <w:rPr>
                <w:rFonts w:ascii="Times New Roman" w:hAnsi="Times New Roman"/>
                <w:sz w:val="20"/>
                <w:szCs w:val="20"/>
                <w:lang w:val="uk-UA"/>
              </w:rPr>
            </w:pPr>
          </w:p>
        </w:tc>
        <w:tc>
          <w:tcPr>
            <w:tcW w:w="1556" w:type="dxa"/>
            <w:vAlign w:val="center"/>
          </w:tcPr>
          <w:p w:rsidR="005801B3" w:rsidRPr="006765C5" w:rsidRDefault="005801B3" w:rsidP="001828BF">
            <w:pPr>
              <w:widowControl w:val="0"/>
              <w:spacing w:after="0" w:line="240" w:lineRule="auto"/>
              <w:jc w:val="center"/>
              <w:rPr>
                <w:rFonts w:ascii="Times New Roman" w:hAnsi="Times New Roman"/>
                <w:bCs/>
                <w:sz w:val="20"/>
                <w:szCs w:val="20"/>
                <w:lang w:val="uk-UA" w:eastAsia="ru-RU"/>
              </w:rPr>
            </w:pPr>
            <w:r w:rsidRPr="006765C5">
              <w:rPr>
                <w:rFonts w:ascii="Times New Roman" w:hAnsi="Times New Roman"/>
                <w:bCs/>
                <w:sz w:val="20"/>
                <w:szCs w:val="20"/>
                <w:lang w:val="uk-UA" w:eastAsia="ru-RU"/>
              </w:rPr>
              <w:t>од.</w:t>
            </w:r>
          </w:p>
        </w:tc>
        <w:tc>
          <w:tcPr>
            <w:tcW w:w="1272" w:type="dxa"/>
            <w:vAlign w:val="center"/>
          </w:tcPr>
          <w:p w:rsidR="005801B3" w:rsidRPr="005801B3" w:rsidRDefault="005801B3" w:rsidP="00734B92">
            <w:pPr>
              <w:widowControl w:val="0"/>
              <w:spacing w:after="0" w:line="240" w:lineRule="auto"/>
              <w:jc w:val="center"/>
              <w:rPr>
                <w:rFonts w:ascii="Times New Roman" w:hAnsi="Times New Roman"/>
                <w:bCs/>
                <w:sz w:val="20"/>
                <w:szCs w:val="20"/>
                <w:lang w:val="uk-UA" w:eastAsia="ru-RU"/>
              </w:rPr>
            </w:pPr>
            <w:r w:rsidRPr="005801B3">
              <w:rPr>
                <w:rFonts w:ascii="Times New Roman" w:hAnsi="Times New Roman"/>
                <w:bCs/>
                <w:sz w:val="20"/>
                <w:szCs w:val="20"/>
                <w:lang w:val="uk-UA" w:eastAsia="ru-RU"/>
              </w:rPr>
              <w:t>138</w:t>
            </w:r>
          </w:p>
        </w:tc>
        <w:tc>
          <w:tcPr>
            <w:tcW w:w="1066" w:type="dxa"/>
            <w:vAlign w:val="center"/>
          </w:tcPr>
          <w:p w:rsidR="005801B3" w:rsidRPr="006765C5" w:rsidRDefault="005801B3" w:rsidP="001828BF">
            <w:pPr>
              <w:spacing w:after="0" w:line="240" w:lineRule="auto"/>
              <w:jc w:val="center"/>
              <w:rPr>
                <w:rFonts w:ascii="Times New Roman" w:hAnsi="Times New Roman"/>
                <w:sz w:val="20"/>
                <w:szCs w:val="20"/>
                <w:lang w:val="uk-UA"/>
              </w:rPr>
            </w:pPr>
            <w:r>
              <w:rPr>
                <w:rFonts w:ascii="Times New Roman" w:hAnsi="Times New Roman"/>
                <w:bCs/>
                <w:sz w:val="20"/>
                <w:szCs w:val="20"/>
                <w:lang w:val="uk-UA" w:eastAsia="ru-RU"/>
              </w:rPr>
              <w:t>12*</w:t>
            </w:r>
          </w:p>
        </w:tc>
        <w:tc>
          <w:tcPr>
            <w:tcW w:w="5072" w:type="dxa"/>
            <w:vMerge/>
          </w:tcPr>
          <w:p w:rsidR="005801B3" w:rsidRPr="006765C5" w:rsidRDefault="005801B3" w:rsidP="001828BF">
            <w:pPr>
              <w:spacing w:after="0" w:line="240" w:lineRule="auto"/>
              <w:jc w:val="center"/>
              <w:rPr>
                <w:rFonts w:ascii="Times New Roman" w:hAnsi="Times New Roman"/>
                <w:sz w:val="20"/>
                <w:szCs w:val="20"/>
                <w:lang w:val="en-US" w:eastAsia="ru-RU"/>
              </w:rPr>
            </w:pPr>
          </w:p>
        </w:tc>
      </w:tr>
      <w:tr w:rsidR="005801B3" w:rsidRPr="006765C5" w:rsidTr="00D042B8">
        <w:tc>
          <w:tcPr>
            <w:tcW w:w="568" w:type="dxa"/>
          </w:tcPr>
          <w:p w:rsidR="005801B3" w:rsidRPr="006765C5" w:rsidRDefault="005801B3" w:rsidP="001828BF">
            <w:pPr>
              <w:spacing w:after="0" w:line="240" w:lineRule="auto"/>
              <w:rPr>
                <w:rFonts w:ascii="Times New Roman" w:hAnsi="Times New Roman"/>
                <w:sz w:val="20"/>
                <w:szCs w:val="20"/>
                <w:lang w:val="uk-UA"/>
              </w:rPr>
            </w:pPr>
            <w:r>
              <w:rPr>
                <w:rFonts w:ascii="Times New Roman" w:hAnsi="Times New Roman"/>
                <w:sz w:val="20"/>
                <w:szCs w:val="20"/>
                <w:lang w:val="uk-UA"/>
              </w:rPr>
              <w:t>88</w:t>
            </w:r>
          </w:p>
        </w:tc>
        <w:tc>
          <w:tcPr>
            <w:tcW w:w="5776" w:type="dxa"/>
            <w:vMerge w:val="restart"/>
          </w:tcPr>
          <w:p w:rsidR="005801B3" w:rsidRPr="006765C5" w:rsidRDefault="005801B3" w:rsidP="00263C1E">
            <w:pPr>
              <w:spacing w:after="0" w:line="240" w:lineRule="auto"/>
              <w:rPr>
                <w:rFonts w:ascii="Times New Roman" w:hAnsi="Times New Roman"/>
                <w:sz w:val="20"/>
                <w:szCs w:val="20"/>
                <w:lang w:val="uk-UA"/>
              </w:rPr>
            </w:pPr>
            <w:r w:rsidRPr="006765C5">
              <w:rPr>
                <w:rFonts w:ascii="Times New Roman" w:hAnsi="Times New Roman"/>
                <w:bCs/>
                <w:sz w:val="20"/>
                <w:szCs w:val="20"/>
                <w:lang w:val="uk-UA" w:eastAsia="ru-RU"/>
              </w:rPr>
              <w:t>Кількість заходів, проведених у рамках програми «Соціальне партнерство» та кількість осіб, охоплених заходами</w:t>
            </w:r>
          </w:p>
        </w:tc>
        <w:tc>
          <w:tcPr>
            <w:tcW w:w="1556" w:type="dxa"/>
            <w:vAlign w:val="center"/>
          </w:tcPr>
          <w:p w:rsidR="005801B3" w:rsidRPr="006765C5" w:rsidRDefault="005801B3" w:rsidP="00EE308C">
            <w:pPr>
              <w:widowControl w:val="0"/>
              <w:spacing w:after="0" w:line="240" w:lineRule="auto"/>
              <w:jc w:val="center"/>
              <w:rPr>
                <w:rFonts w:ascii="Times New Roman" w:hAnsi="Times New Roman"/>
                <w:bCs/>
                <w:sz w:val="20"/>
                <w:szCs w:val="20"/>
                <w:lang w:val="uk-UA" w:eastAsia="ru-RU"/>
              </w:rPr>
            </w:pPr>
            <w:r w:rsidRPr="006765C5">
              <w:rPr>
                <w:rFonts w:ascii="Times New Roman" w:hAnsi="Times New Roman"/>
                <w:bCs/>
                <w:sz w:val="20"/>
                <w:szCs w:val="20"/>
                <w:lang w:val="uk-UA" w:eastAsia="ru-RU"/>
              </w:rPr>
              <w:t xml:space="preserve">од. </w:t>
            </w:r>
          </w:p>
        </w:tc>
        <w:tc>
          <w:tcPr>
            <w:tcW w:w="1272" w:type="dxa"/>
            <w:vAlign w:val="center"/>
          </w:tcPr>
          <w:p w:rsidR="005801B3" w:rsidRPr="005801B3" w:rsidRDefault="005801B3" w:rsidP="00EE308C">
            <w:pPr>
              <w:widowControl w:val="0"/>
              <w:spacing w:after="0" w:line="240" w:lineRule="auto"/>
              <w:jc w:val="center"/>
              <w:rPr>
                <w:rFonts w:ascii="Times New Roman" w:hAnsi="Times New Roman"/>
                <w:bCs/>
                <w:sz w:val="20"/>
                <w:szCs w:val="20"/>
                <w:lang w:val="uk-UA" w:eastAsia="ru-RU"/>
              </w:rPr>
            </w:pPr>
            <w:r w:rsidRPr="005801B3">
              <w:rPr>
                <w:rFonts w:ascii="Times New Roman" w:hAnsi="Times New Roman"/>
                <w:bCs/>
                <w:sz w:val="20"/>
                <w:szCs w:val="20"/>
                <w:lang w:val="uk-UA" w:eastAsia="ru-RU"/>
              </w:rPr>
              <w:t>12</w:t>
            </w:r>
          </w:p>
        </w:tc>
        <w:tc>
          <w:tcPr>
            <w:tcW w:w="1066" w:type="dxa"/>
          </w:tcPr>
          <w:p w:rsidR="005801B3" w:rsidRPr="006765C5" w:rsidRDefault="005801B3" w:rsidP="00255C4A">
            <w:pPr>
              <w:spacing w:after="0" w:line="240" w:lineRule="auto"/>
              <w:jc w:val="center"/>
              <w:rPr>
                <w:rFonts w:ascii="Times New Roman" w:hAnsi="Times New Roman"/>
                <w:sz w:val="20"/>
                <w:szCs w:val="20"/>
                <w:lang w:val="uk-UA"/>
              </w:rPr>
            </w:pPr>
            <w:r>
              <w:rPr>
                <w:rFonts w:ascii="Times New Roman" w:hAnsi="Times New Roman"/>
                <w:bCs/>
                <w:sz w:val="20"/>
                <w:szCs w:val="20"/>
                <w:lang w:val="uk-UA" w:eastAsia="ru-RU"/>
              </w:rPr>
              <w:t>54*</w:t>
            </w:r>
          </w:p>
        </w:tc>
        <w:tc>
          <w:tcPr>
            <w:tcW w:w="5072" w:type="dxa"/>
            <w:vMerge w:val="restart"/>
          </w:tcPr>
          <w:p w:rsidR="005801B3" w:rsidRPr="006765C5" w:rsidRDefault="005801B3" w:rsidP="005801B3">
            <w:pPr>
              <w:widowControl w:val="0"/>
              <w:spacing w:after="0" w:line="240" w:lineRule="auto"/>
              <w:rPr>
                <w:rFonts w:ascii="Times New Roman" w:hAnsi="Times New Roman"/>
                <w:sz w:val="20"/>
                <w:szCs w:val="20"/>
                <w:lang w:val="uk-UA"/>
              </w:rPr>
            </w:pPr>
            <w:r>
              <w:rPr>
                <w:rFonts w:ascii="Times New Roman" w:hAnsi="Times New Roman"/>
                <w:sz w:val="20"/>
                <w:szCs w:val="20"/>
                <w:lang w:val="uk-UA" w:eastAsia="ru-RU"/>
              </w:rPr>
              <w:t>Масові заходи обмежено (воєнний стан).</w:t>
            </w:r>
          </w:p>
        </w:tc>
      </w:tr>
      <w:tr w:rsidR="005801B3" w:rsidRPr="00A1489C" w:rsidTr="00D042B8">
        <w:tc>
          <w:tcPr>
            <w:tcW w:w="568" w:type="dxa"/>
          </w:tcPr>
          <w:p w:rsidR="005801B3" w:rsidRPr="006765C5" w:rsidRDefault="005801B3" w:rsidP="001828BF">
            <w:pPr>
              <w:spacing w:after="0" w:line="240" w:lineRule="auto"/>
              <w:rPr>
                <w:rFonts w:ascii="Times New Roman" w:hAnsi="Times New Roman"/>
                <w:sz w:val="20"/>
                <w:szCs w:val="20"/>
                <w:lang w:val="uk-UA"/>
              </w:rPr>
            </w:pPr>
            <w:r>
              <w:rPr>
                <w:rFonts w:ascii="Times New Roman" w:hAnsi="Times New Roman"/>
                <w:sz w:val="20"/>
                <w:szCs w:val="20"/>
                <w:lang w:val="uk-UA"/>
              </w:rPr>
              <w:t>89</w:t>
            </w:r>
          </w:p>
        </w:tc>
        <w:tc>
          <w:tcPr>
            <w:tcW w:w="5776" w:type="dxa"/>
            <w:vMerge/>
          </w:tcPr>
          <w:p w:rsidR="005801B3" w:rsidRPr="006765C5" w:rsidRDefault="005801B3" w:rsidP="00263C1E">
            <w:pPr>
              <w:spacing w:after="0" w:line="240" w:lineRule="auto"/>
              <w:rPr>
                <w:rFonts w:ascii="Times New Roman" w:hAnsi="Times New Roman"/>
                <w:sz w:val="20"/>
                <w:szCs w:val="20"/>
                <w:lang w:val="uk-UA"/>
              </w:rPr>
            </w:pPr>
          </w:p>
        </w:tc>
        <w:tc>
          <w:tcPr>
            <w:tcW w:w="1556" w:type="dxa"/>
            <w:vAlign w:val="center"/>
          </w:tcPr>
          <w:p w:rsidR="005801B3" w:rsidRPr="006765C5" w:rsidRDefault="005801B3" w:rsidP="00EE308C">
            <w:pPr>
              <w:widowControl w:val="0"/>
              <w:spacing w:after="0" w:line="240" w:lineRule="auto"/>
              <w:jc w:val="center"/>
              <w:rPr>
                <w:rFonts w:ascii="Times New Roman" w:hAnsi="Times New Roman"/>
                <w:bCs/>
                <w:sz w:val="20"/>
                <w:szCs w:val="20"/>
                <w:lang w:val="uk-UA" w:eastAsia="ru-RU"/>
              </w:rPr>
            </w:pPr>
            <w:r w:rsidRPr="006765C5">
              <w:rPr>
                <w:rFonts w:ascii="Times New Roman" w:hAnsi="Times New Roman"/>
                <w:bCs/>
                <w:sz w:val="20"/>
                <w:szCs w:val="20"/>
                <w:lang w:val="uk-UA" w:eastAsia="ru-RU"/>
              </w:rPr>
              <w:t>тис. осіб</w:t>
            </w:r>
          </w:p>
        </w:tc>
        <w:tc>
          <w:tcPr>
            <w:tcW w:w="1272" w:type="dxa"/>
            <w:vAlign w:val="center"/>
          </w:tcPr>
          <w:p w:rsidR="005801B3" w:rsidRPr="005801B3" w:rsidRDefault="005801B3" w:rsidP="00D042B8">
            <w:pPr>
              <w:widowControl w:val="0"/>
              <w:spacing w:after="0" w:line="240" w:lineRule="auto"/>
              <w:jc w:val="center"/>
              <w:rPr>
                <w:rFonts w:ascii="Times New Roman" w:hAnsi="Times New Roman"/>
                <w:bCs/>
                <w:sz w:val="20"/>
                <w:szCs w:val="20"/>
                <w:lang w:val="uk-UA" w:eastAsia="ru-RU"/>
              </w:rPr>
            </w:pPr>
            <w:r w:rsidRPr="005801B3">
              <w:rPr>
                <w:rFonts w:ascii="Times New Roman" w:hAnsi="Times New Roman"/>
                <w:bCs/>
                <w:sz w:val="20"/>
                <w:szCs w:val="20"/>
                <w:lang w:val="uk-UA" w:eastAsia="ru-RU"/>
              </w:rPr>
              <w:t>15,0</w:t>
            </w:r>
          </w:p>
        </w:tc>
        <w:tc>
          <w:tcPr>
            <w:tcW w:w="1066" w:type="dxa"/>
          </w:tcPr>
          <w:p w:rsidR="005801B3" w:rsidRPr="006765C5" w:rsidRDefault="005801B3" w:rsidP="005801B3">
            <w:pPr>
              <w:spacing w:after="0" w:line="240" w:lineRule="auto"/>
              <w:jc w:val="center"/>
              <w:rPr>
                <w:rFonts w:ascii="Times New Roman" w:hAnsi="Times New Roman"/>
                <w:sz w:val="20"/>
                <w:szCs w:val="20"/>
                <w:lang w:val="uk-UA"/>
              </w:rPr>
            </w:pPr>
            <w:r>
              <w:rPr>
                <w:rFonts w:ascii="Times New Roman" w:hAnsi="Times New Roman"/>
                <w:sz w:val="20"/>
                <w:szCs w:val="20"/>
                <w:lang w:val="uk-UA"/>
              </w:rPr>
              <w:t>8,8</w:t>
            </w:r>
          </w:p>
        </w:tc>
        <w:tc>
          <w:tcPr>
            <w:tcW w:w="5072" w:type="dxa"/>
            <w:vMerge/>
          </w:tcPr>
          <w:p w:rsidR="005801B3" w:rsidRPr="006765C5" w:rsidRDefault="005801B3" w:rsidP="00263C1E">
            <w:pPr>
              <w:spacing w:after="0" w:line="240" w:lineRule="auto"/>
              <w:rPr>
                <w:rFonts w:ascii="Times New Roman" w:hAnsi="Times New Roman"/>
                <w:sz w:val="20"/>
                <w:szCs w:val="20"/>
                <w:lang w:val="uk-UA"/>
              </w:rPr>
            </w:pPr>
          </w:p>
        </w:tc>
      </w:tr>
      <w:tr w:rsidR="00DF26AE" w:rsidRPr="006765C5" w:rsidTr="00D042B8">
        <w:tc>
          <w:tcPr>
            <w:tcW w:w="568" w:type="dxa"/>
          </w:tcPr>
          <w:p w:rsidR="00DF26AE" w:rsidRPr="006765C5" w:rsidRDefault="006837CF" w:rsidP="006837CF">
            <w:pPr>
              <w:spacing w:after="0" w:line="240" w:lineRule="auto"/>
              <w:rPr>
                <w:rFonts w:ascii="Times New Roman" w:hAnsi="Times New Roman"/>
                <w:sz w:val="20"/>
                <w:szCs w:val="20"/>
                <w:lang w:val="uk-UA"/>
              </w:rPr>
            </w:pPr>
            <w:r>
              <w:rPr>
                <w:rFonts w:ascii="Times New Roman" w:hAnsi="Times New Roman"/>
                <w:sz w:val="20"/>
                <w:szCs w:val="20"/>
                <w:lang w:val="uk-UA"/>
              </w:rPr>
              <w:t>90</w:t>
            </w:r>
          </w:p>
        </w:tc>
        <w:tc>
          <w:tcPr>
            <w:tcW w:w="5776" w:type="dxa"/>
          </w:tcPr>
          <w:p w:rsidR="00DF26AE" w:rsidRPr="006765C5" w:rsidRDefault="00DF26AE" w:rsidP="001828BF">
            <w:pPr>
              <w:widowControl w:val="0"/>
              <w:spacing w:after="0" w:line="240" w:lineRule="auto"/>
              <w:rPr>
                <w:rFonts w:ascii="Times New Roman" w:hAnsi="Times New Roman"/>
                <w:sz w:val="20"/>
                <w:szCs w:val="20"/>
                <w:lang w:val="uk-UA" w:eastAsia="ru-RU"/>
              </w:rPr>
            </w:pPr>
            <w:r w:rsidRPr="006765C5">
              <w:rPr>
                <w:rFonts w:ascii="Times New Roman" w:hAnsi="Times New Roman"/>
                <w:sz w:val="20"/>
                <w:szCs w:val="20"/>
                <w:lang w:val="uk-UA" w:eastAsia="ru-RU"/>
              </w:rPr>
              <w:t>Кількість осіб, забезпечених продуктами харчування та товарами першого вжитку</w:t>
            </w:r>
          </w:p>
        </w:tc>
        <w:tc>
          <w:tcPr>
            <w:tcW w:w="1556" w:type="dxa"/>
            <w:vAlign w:val="center"/>
          </w:tcPr>
          <w:p w:rsidR="00DF26AE" w:rsidRPr="006765C5" w:rsidRDefault="006837CF" w:rsidP="001828BF">
            <w:pPr>
              <w:widowControl w:val="0"/>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тис.</w:t>
            </w:r>
            <w:r w:rsidR="00DF26AE" w:rsidRPr="006765C5">
              <w:rPr>
                <w:rFonts w:ascii="Times New Roman" w:hAnsi="Times New Roman"/>
                <w:sz w:val="20"/>
                <w:szCs w:val="20"/>
                <w:lang w:val="uk-UA" w:eastAsia="ru-RU"/>
              </w:rPr>
              <w:t>осіб</w:t>
            </w:r>
          </w:p>
        </w:tc>
        <w:tc>
          <w:tcPr>
            <w:tcW w:w="1272" w:type="dxa"/>
            <w:vAlign w:val="center"/>
          </w:tcPr>
          <w:p w:rsidR="00DF26AE" w:rsidRPr="006765C5" w:rsidRDefault="00DF26AE" w:rsidP="006837C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1</w:t>
            </w:r>
            <w:r w:rsidR="006837CF">
              <w:rPr>
                <w:rFonts w:ascii="Times New Roman" w:hAnsi="Times New Roman"/>
                <w:sz w:val="20"/>
                <w:szCs w:val="20"/>
                <w:lang w:val="uk-UA" w:eastAsia="ru-RU"/>
              </w:rPr>
              <w:t>8,0</w:t>
            </w:r>
          </w:p>
        </w:tc>
        <w:tc>
          <w:tcPr>
            <w:tcW w:w="1066" w:type="dxa"/>
            <w:vAlign w:val="center"/>
          </w:tcPr>
          <w:p w:rsidR="00F7003A" w:rsidRPr="006765C5" w:rsidRDefault="00F7003A" w:rsidP="00F7003A">
            <w:pPr>
              <w:spacing w:after="0" w:line="240" w:lineRule="auto"/>
              <w:jc w:val="center"/>
              <w:rPr>
                <w:rFonts w:ascii="Times New Roman" w:hAnsi="Times New Roman"/>
                <w:sz w:val="20"/>
                <w:szCs w:val="20"/>
                <w:lang w:val="uk-UA"/>
              </w:rPr>
            </w:pPr>
            <w:r>
              <w:rPr>
                <w:rFonts w:ascii="Times New Roman" w:hAnsi="Times New Roman"/>
                <w:sz w:val="20"/>
                <w:szCs w:val="20"/>
                <w:lang w:val="uk-UA"/>
              </w:rPr>
              <w:t>20,8</w:t>
            </w:r>
          </w:p>
        </w:tc>
        <w:tc>
          <w:tcPr>
            <w:tcW w:w="5072" w:type="dxa"/>
            <w:vAlign w:val="center"/>
          </w:tcPr>
          <w:p w:rsidR="00DF26AE" w:rsidRPr="006765C5" w:rsidRDefault="00DF26AE" w:rsidP="00263C1E">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w:t>
            </w:r>
          </w:p>
        </w:tc>
      </w:tr>
      <w:tr w:rsidR="00DF26AE" w:rsidRPr="006765C5" w:rsidTr="00D042B8">
        <w:tc>
          <w:tcPr>
            <w:tcW w:w="568" w:type="dxa"/>
          </w:tcPr>
          <w:p w:rsidR="00DF26AE" w:rsidRPr="006765C5" w:rsidRDefault="00DF26AE" w:rsidP="001828BF">
            <w:pPr>
              <w:spacing w:after="0" w:line="240" w:lineRule="auto"/>
              <w:rPr>
                <w:rFonts w:ascii="Times New Roman" w:hAnsi="Times New Roman"/>
                <w:sz w:val="20"/>
                <w:szCs w:val="20"/>
                <w:lang w:val="uk-UA"/>
              </w:rPr>
            </w:pPr>
            <w:r w:rsidRPr="006765C5">
              <w:rPr>
                <w:rFonts w:ascii="Times New Roman" w:hAnsi="Times New Roman"/>
                <w:sz w:val="20"/>
                <w:szCs w:val="20"/>
                <w:lang w:val="uk-UA"/>
              </w:rPr>
              <w:t>103</w:t>
            </w:r>
          </w:p>
        </w:tc>
        <w:tc>
          <w:tcPr>
            <w:tcW w:w="5776" w:type="dxa"/>
          </w:tcPr>
          <w:p w:rsidR="00DF26AE" w:rsidRPr="006765C5" w:rsidRDefault="00DF26AE" w:rsidP="001828BF">
            <w:pPr>
              <w:widowControl w:val="0"/>
              <w:spacing w:after="0" w:line="240" w:lineRule="auto"/>
              <w:rPr>
                <w:rFonts w:ascii="Times New Roman" w:hAnsi="Times New Roman"/>
                <w:spacing w:val="-2"/>
                <w:sz w:val="20"/>
                <w:szCs w:val="20"/>
                <w:lang w:val="uk-UA" w:eastAsia="ru-RU"/>
              </w:rPr>
            </w:pPr>
            <w:r w:rsidRPr="006765C5">
              <w:rPr>
                <w:rFonts w:ascii="Times New Roman" w:hAnsi="Times New Roman"/>
                <w:spacing w:val="-2"/>
                <w:sz w:val="20"/>
                <w:szCs w:val="20"/>
                <w:lang w:val="uk-UA" w:eastAsia="ru-RU"/>
              </w:rPr>
              <w:t>Відсоток підпорядкованих установ, організацій та закладів соціального захисту  Департаменту соціальної політики виконавчого органу Київської міської ради (Київської міської державної адміністрації), в яких забезпечено доступність та комфортність для осіб з інвалідністю, зокрема, для осіб з порушенням зору та слуху</w:t>
            </w:r>
          </w:p>
        </w:tc>
        <w:tc>
          <w:tcPr>
            <w:tcW w:w="1556" w:type="dxa"/>
            <w:vAlign w:val="center"/>
          </w:tcPr>
          <w:p w:rsidR="00DF26AE" w:rsidRPr="006765C5" w:rsidRDefault="00DF26AE" w:rsidP="001828BF">
            <w:pPr>
              <w:widowControl w:val="0"/>
              <w:spacing w:after="0" w:line="240" w:lineRule="auto"/>
              <w:jc w:val="center"/>
              <w:rPr>
                <w:rFonts w:ascii="Times New Roman" w:hAnsi="Times New Roman"/>
                <w:sz w:val="20"/>
                <w:szCs w:val="20"/>
                <w:lang w:val="uk-UA" w:eastAsia="ru-RU"/>
              </w:rPr>
            </w:pPr>
            <w:r w:rsidRPr="006765C5">
              <w:rPr>
                <w:rFonts w:ascii="Times New Roman" w:hAnsi="Times New Roman"/>
                <w:sz w:val="20"/>
                <w:szCs w:val="20"/>
                <w:lang w:val="uk-UA" w:eastAsia="ru-RU"/>
              </w:rPr>
              <w:t>%</w:t>
            </w:r>
          </w:p>
        </w:tc>
        <w:tc>
          <w:tcPr>
            <w:tcW w:w="1272" w:type="dxa"/>
            <w:vAlign w:val="center"/>
          </w:tcPr>
          <w:p w:rsidR="00DF26AE" w:rsidRPr="006765C5" w:rsidRDefault="006837CF" w:rsidP="001828BF">
            <w:pPr>
              <w:widowControl w:val="0"/>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w:t>
            </w:r>
            <w:r w:rsidR="00DF26AE" w:rsidRPr="006765C5">
              <w:rPr>
                <w:rFonts w:ascii="Times New Roman" w:hAnsi="Times New Roman"/>
                <w:sz w:val="20"/>
                <w:szCs w:val="20"/>
                <w:lang w:val="uk-UA" w:eastAsia="ru-RU"/>
              </w:rPr>
              <w:t>5</w:t>
            </w:r>
          </w:p>
        </w:tc>
        <w:tc>
          <w:tcPr>
            <w:tcW w:w="1066" w:type="dxa"/>
            <w:vAlign w:val="center"/>
          </w:tcPr>
          <w:p w:rsidR="00DF26AE" w:rsidRPr="00F7003A" w:rsidRDefault="00F7003A" w:rsidP="00263C1E">
            <w:pPr>
              <w:spacing w:after="0" w:line="240" w:lineRule="auto"/>
              <w:jc w:val="center"/>
              <w:rPr>
                <w:rFonts w:ascii="Times New Roman" w:hAnsi="Times New Roman"/>
                <w:sz w:val="20"/>
                <w:szCs w:val="20"/>
                <w:lang w:val="uk-UA"/>
              </w:rPr>
            </w:pPr>
            <w:r>
              <w:rPr>
                <w:rFonts w:ascii="Times New Roman" w:hAnsi="Times New Roman"/>
                <w:sz w:val="20"/>
                <w:szCs w:val="20"/>
                <w:lang w:val="uk-UA"/>
              </w:rPr>
              <w:t>100</w:t>
            </w:r>
          </w:p>
        </w:tc>
        <w:tc>
          <w:tcPr>
            <w:tcW w:w="5072" w:type="dxa"/>
            <w:vAlign w:val="center"/>
          </w:tcPr>
          <w:p w:rsidR="00DF26AE" w:rsidRPr="006765C5" w:rsidRDefault="00DF26AE" w:rsidP="00263C1E">
            <w:pPr>
              <w:spacing w:after="0" w:line="240" w:lineRule="auto"/>
              <w:jc w:val="center"/>
              <w:rPr>
                <w:rFonts w:ascii="Times New Roman" w:hAnsi="Times New Roman"/>
                <w:sz w:val="20"/>
                <w:szCs w:val="20"/>
                <w:lang w:val="uk-UA"/>
              </w:rPr>
            </w:pPr>
            <w:r w:rsidRPr="006765C5">
              <w:rPr>
                <w:rFonts w:ascii="Times New Roman" w:hAnsi="Times New Roman"/>
                <w:sz w:val="20"/>
                <w:szCs w:val="20"/>
                <w:lang w:val="uk-UA"/>
              </w:rPr>
              <w:t>-</w:t>
            </w:r>
          </w:p>
        </w:tc>
      </w:tr>
    </w:tbl>
    <w:p w:rsidR="00DF26AE" w:rsidRPr="006765C5" w:rsidRDefault="00DF26AE" w:rsidP="00043C4C">
      <w:pPr>
        <w:spacing w:after="0" w:line="240" w:lineRule="auto"/>
        <w:rPr>
          <w:rFonts w:ascii="Times New Roman" w:hAnsi="Times New Roman"/>
          <w:sz w:val="16"/>
          <w:szCs w:val="16"/>
          <w:vertAlign w:val="superscript"/>
          <w:lang w:val="uk-UA"/>
        </w:rPr>
      </w:pPr>
    </w:p>
    <w:p w:rsidR="00DF26AE" w:rsidRPr="006765C5" w:rsidRDefault="00DF26AE">
      <w:pPr>
        <w:rPr>
          <w:rFonts w:ascii="Times New Roman" w:hAnsi="Times New Roman"/>
          <w:sz w:val="28"/>
          <w:szCs w:val="28"/>
          <w:lang w:val="uk-UA"/>
        </w:rPr>
      </w:pPr>
    </w:p>
    <w:p w:rsidR="00DF26AE" w:rsidRPr="006765C5" w:rsidRDefault="002064DA">
      <w:pPr>
        <w:rPr>
          <w:rFonts w:ascii="Times New Roman" w:hAnsi="Times New Roman"/>
          <w:sz w:val="28"/>
          <w:szCs w:val="28"/>
          <w:lang w:val="uk-UA"/>
        </w:rPr>
      </w:pPr>
      <w:r>
        <w:rPr>
          <w:rFonts w:ascii="Times New Roman" w:hAnsi="Times New Roman"/>
          <w:sz w:val="28"/>
          <w:szCs w:val="28"/>
          <w:lang w:val="uk-UA"/>
        </w:rPr>
        <w:t xml:space="preserve">Заступник </w:t>
      </w:r>
      <w:r w:rsidR="00D20F7C">
        <w:rPr>
          <w:rFonts w:ascii="Times New Roman" w:hAnsi="Times New Roman"/>
          <w:sz w:val="28"/>
          <w:szCs w:val="28"/>
          <w:lang w:val="uk-UA"/>
        </w:rPr>
        <w:t>д</w:t>
      </w:r>
      <w:bookmarkStart w:id="0" w:name="_GoBack"/>
      <w:bookmarkEnd w:id="0"/>
      <w:r w:rsidR="00DF26AE" w:rsidRPr="006765C5">
        <w:rPr>
          <w:rFonts w:ascii="Times New Roman" w:hAnsi="Times New Roman"/>
          <w:sz w:val="28"/>
          <w:szCs w:val="28"/>
          <w:lang w:val="uk-UA"/>
        </w:rPr>
        <w:t>иректор</w:t>
      </w:r>
      <w:r>
        <w:rPr>
          <w:rFonts w:ascii="Times New Roman" w:hAnsi="Times New Roman"/>
          <w:sz w:val="28"/>
          <w:szCs w:val="28"/>
          <w:lang w:val="uk-UA"/>
        </w:rPr>
        <w:t>а</w:t>
      </w:r>
      <w:r w:rsidR="00DF26AE" w:rsidRPr="006765C5">
        <w:rPr>
          <w:rFonts w:ascii="Times New Roman" w:hAnsi="Times New Roman"/>
          <w:sz w:val="28"/>
          <w:szCs w:val="28"/>
          <w:lang w:val="uk-UA"/>
        </w:rPr>
        <w:t xml:space="preserve"> Департаменту</w:t>
      </w:r>
      <w:r w:rsidR="00DF26AE" w:rsidRPr="006765C5">
        <w:rPr>
          <w:rFonts w:ascii="Times New Roman" w:hAnsi="Times New Roman"/>
          <w:sz w:val="28"/>
          <w:szCs w:val="28"/>
          <w:lang w:val="uk-UA"/>
        </w:rPr>
        <w:tab/>
      </w:r>
      <w:r w:rsidR="00DF26AE" w:rsidRPr="006765C5">
        <w:rPr>
          <w:rFonts w:ascii="Times New Roman" w:hAnsi="Times New Roman"/>
          <w:sz w:val="28"/>
          <w:szCs w:val="28"/>
          <w:lang w:val="uk-UA"/>
        </w:rPr>
        <w:tab/>
      </w:r>
      <w:r w:rsidR="00DF26AE" w:rsidRPr="006765C5">
        <w:rPr>
          <w:rFonts w:ascii="Times New Roman" w:hAnsi="Times New Roman"/>
          <w:sz w:val="28"/>
          <w:szCs w:val="28"/>
          <w:lang w:val="uk-UA"/>
        </w:rPr>
        <w:tab/>
      </w:r>
      <w:r w:rsidR="00DF26AE" w:rsidRPr="006765C5">
        <w:rPr>
          <w:rFonts w:ascii="Times New Roman" w:hAnsi="Times New Roman"/>
          <w:sz w:val="28"/>
          <w:szCs w:val="28"/>
          <w:lang w:val="uk-UA"/>
        </w:rPr>
        <w:tab/>
      </w:r>
      <w:r w:rsidR="00DF26AE" w:rsidRPr="006765C5">
        <w:rPr>
          <w:rFonts w:ascii="Times New Roman" w:hAnsi="Times New Roman"/>
          <w:sz w:val="28"/>
          <w:szCs w:val="28"/>
          <w:lang w:val="uk-UA"/>
        </w:rPr>
        <w:tab/>
      </w:r>
      <w:r w:rsidR="00DF26AE" w:rsidRPr="006765C5">
        <w:rPr>
          <w:rFonts w:ascii="Times New Roman" w:hAnsi="Times New Roman"/>
          <w:sz w:val="28"/>
          <w:szCs w:val="28"/>
          <w:lang w:val="uk-UA"/>
        </w:rPr>
        <w:tab/>
      </w:r>
      <w:r w:rsidR="00DF26AE" w:rsidRPr="006765C5">
        <w:rPr>
          <w:rFonts w:ascii="Times New Roman" w:hAnsi="Times New Roman"/>
          <w:sz w:val="28"/>
          <w:szCs w:val="28"/>
          <w:lang w:val="uk-UA"/>
        </w:rPr>
        <w:tab/>
      </w:r>
      <w:r w:rsidR="00DF26AE" w:rsidRPr="006765C5">
        <w:rPr>
          <w:rFonts w:ascii="Times New Roman" w:hAnsi="Times New Roman"/>
          <w:sz w:val="28"/>
          <w:szCs w:val="28"/>
          <w:lang w:val="uk-UA"/>
        </w:rPr>
        <w:tab/>
      </w:r>
      <w:r w:rsidR="00DF26AE" w:rsidRPr="006765C5">
        <w:rPr>
          <w:rFonts w:ascii="Times New Roman" w:hAnsi="Times New Roman"/>
          <w:sz w:val="28"/>
          <w:szCs w:val="28"/>
          <w:lang w:val="uk-UA"/>
        </w:rPr>
        <w:tab/>
      </w:r>
      <w:r w:rsidR="00DF26AE" w:rsidRPr="006765C5">
        <w:rPr>
          <w:rFonts w:ascii="Times New Roman" w:hAnsi="Times New Roman"/>
          <w:sz w:val="28"/>
          <w:szCs w:val="28"/>
          <w:lang w:val="uk-UA"/>
        </w:rPr>
        <w:tab/>
      </w:r>
      <w:r>
        <w:rPr>
          <w:rFonts w:ascii="Times New Roman" w:hAnsi="Times New Roman"/>
          <w:sz w:val="28"/>
          <w:szCs w:val="28"/>
          <w:lang w:val="uk-UA"/>
        </w:rPr>
        <w:t>Любов РІЯКО</w:t>
      </w:r>
    </w:p>
    <w:p w:rsidR="002064DA" w:rsidRDefault="002064DA" w:rsidP="0017280C">
      <w:pPr>
        <w:spacing w:after="0"/>
        <w:rPr>
          <w:rFonts w:ascii="Times New Roman" w:hAnsi="Times New Roman"/>
          <w:sz w:val="20"/>
          <w:szCs w:val="20"/>
          <w:lang w:val="uk-UA"/>
        </w:rPr>
      </w:pPr>
    </w:p>
    <w:p w:rsidR="002064DA" w:rsidRDefault="002064DA" w:rsidP="0017280C">
      <w:pPr>
        <w:spacing w:after="0"/>
        <w:rPr>
          <w:rFonts w:ascii="Times New Roman" w:hAnsi="Times New Roman"/>
          <w:sz w:val="20"/>
          <w:szCs w:val="20"/>
          <w:lang w:val="uk-UA"/>
        </w:rPr>
      </w:pPr>
    </w:p>
    <w:p w:rsidR="002064DA" w:rsidRDefault="002064DA" w:rsidP="0017280C">
      <w:pPr>
        <w:spacing w:after="0"/>
        <w:rPr>
          <w:rFonts w:ascii="Times New Roman" w:hAnsi="Times New Roman"/>
          <w:sz w:val="20"/>
          <w:szCs w:val="20"/>
          <w:lang w:val="uk-UA"/>
        </w:rPr>
      </w:pPr>
    </w:p>
    <w:p w:rsidR="002064DA" w:rsidRDefault="002064DA" w:rsidP="0017280C">
      <w:pPr>
        <w:spacing w:after="0"/>
        <w:rPr>
          <w:rFonts w:ascii="Times New Roman" w:hAnsi="Times New Roman"/>
          <w:sz w:val="20"/>
          <w:szCs w:val="20"/>
          <w:lang w:val="uk-UA"/>
        </w:rPr>
      </w:pPr>
    </w:p>
    <w:p w:rsidR="002064DA" w:rsidRDefault="002064DA" w:rsidP="0017280C">
      <w:pPr>
        <w:spacing w:after="0"/>
        <w:rPr>
          <w:rFonts w:ascii="Times New Roman" w:hAnsi="Times New Roman"/>
          <w:sz w:val="20"/>
          <w:szCs w:val="20"/>
          <w:lang w:val="uk-UA"/>
        </w:rPr>
      </w:pPr>
    </w:p>
    <w:p w:rsidR="002064DA" w:rsidRDefault="002064DA" w:rsidP="0017280C">
      <w:pPr>
        <w:spacing w:after="0"/>
        <w:rPr>
          <w:rFonts w:ascii="Times New Roman" w:hAnsi="Times New Roman"/>
          <w:sz w:val="20"/>
          <w:szCs w:val="20"/>
          <w:lang w:val="uk-UA"/>
        </w:rPr>
      </w:pPr>
    </w:p>
    <w:p w:rsidR="00DF26AE" w:rsidRPr="006765C5" w:rsidRDefault="00DF26AE" w:rsidP="0017280C">
      <w:pPr>
        <w:spacing w:after="0"/>
        <w:rPr>
          <w:rFonts w:ascii="Times New Roman" w:hAnsi="Times New Roman"/>
          <w:sz w:val="20"/>
          <w:szCs w:val="20"/>
          <w:lang w:val="uk-UA"/>
        </w:rPr>
      </w:pPr>
      <w:r w:rsidRPr="006765C5">
        <w:rPr>
          <w:rFonts w:ascii="Times New Roman" w:hAnsi="Times New Roman"/>
          <w:sz w:val="20"/>
          <w:szCs w:val="20"/>
          <w:lang w:val="uk-UA"/>
        </w:rPr>
        <w:t>Микола  Богатир</w:t>
      </w:r>
    </w:p>
    <w:p w:rsidR="00DF26AE" w:rsidRPr="006765C5" w:rsidRDefault="00DF26AE" w:rsidP="0017280C">
      <w:pPr>
        <w:spacing w:after="0"/>
        <w:rPr>
          <w:rFonts w:ascii="Times New Roman" w:hAnsi="Times New Roman"/>
          <w:sz w:val="20"/>
          <w:szCs w:val="20"/>
          <w:lang w:val="uk-UA"/>
        </w:rPr>
      </w:pPr>
      <w:r w:rsidRPr="006765C5">
        <w:rPr>
          <w:rFonts w:ascii="Times New Roman" w:hAnsi="Times New Roman"/>
          <w:sz w:val="20"/>
          <w:szCs w:val="20"/>
          <w:lang w:val="uk-UA"/>
        </w:rPr>
        <w:t>Інна Козаченко 497 03 37</w:t>
      </w:r>
    </w:p>
    <w:sectPr w:rsidR="00DF26AE" w:rsidRPr="006765C5" w:rsidSect="00351B92">
      <w:headerReference w:type="default" r:id="rId7"/>
      <w:pgSz w:w="16838" w:h="11906" w:orient="landscape"/>
      <w:pgMar w:top="284"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685" w:rsidRDefault="00D04685" w:rsidP="00764B1E">
      <w:pPr>
        <w:spacing w:after="0" w:line="240" w:lineRule="auto"/>
      </w:pPr>
      <w:r>
        <w:separator/>
      </w:r>
    </w:p>
  </w:endnote>
  <w:endnote w:type="continuationSeparator" w:id="0">
    <w:p w:rsidR="00D04685" w:rsidRDefault="00D04685" w:rsidP="0076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685" w:rsidRDefault="00D04685" w:rsidP="00764B1E">
      <w:pPr>
        <w:spacing w:after="0" w:line="240" w:lineRule="auto"/>
      </w:pPr>
      <w:r>
        <w:separator/>
      </w:r>
    </w:p>
  </w:footnote>
  <w:footnote w:type="continuationSeparator" w:id="0">
    <w:p w:rsidR="00D04685" w:rsidRDefault="00D04685" w:rsidP="00764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6AE" w:rsidRPr="00351B92" w:rsidRDefault="00DF26AE">
    <w:pPr>
      <w:pStyle w:val="aa"/>
      <w:jc w:val="center"/>
      <w:rPr>
        <w:rFonts w:ascii="Times New Roman" w:hAnsi="Times New Roman"/>
      </w:rPr>
    </w:pPr>
    <w:r w:rsidRPr="00351B92">
      <w:rPr>
        <w:rFonts w:ascii="Times New Roman" w:hAnsi="Times New Roman"/>
      </w:rPr>
      <w:fldChar w:fldCharType="begin"/>
    </w:r>
    <w:r w:rsidRPr="00351B92">
      <w:rPr>
        <w:rFonts w:ascii="Times New Roman" w:hAnsi="Times New Roman"/>
      </w:rPr>
      <w:instrText>PAGE   \* MERGEFORMAT</w:instrText>
    </w:r>
    <w:r w:rsidRPr="00351B92">
      <w:rPr>
        <w:rFonts w:ascii="Times New Roman" w:hAnsi="Times New Roman"/>
      </w:rPr>
      <w:fldChar w:fldCharType="separate"/>
    </w:r>
    <w:r w:rsidR="00D20F7C">
      <w:rPr>
        <w:rFonts w:ascii="Times New Roman" w:hAnsi="Times New Roman"/>
        <w:noProof/>
      </w:rPr>
      <w:t>1</w:t>
    </w:r>
    <w:r w:rsidRPr="00351B92">
      <w:rPr>
        <w:rFonts w:ascii="Times New Roman" w:hAnsi="Times New Roman"/>
      </w:rPr>
      <w:fldChar w:fldCharType="end"/>
    </w:r>
  </w:p>
  <w:p w:rsidR="00DF26AE" w:rsidRDefault="00DF26A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6FE"/>
    <w:multiLevelType w:val="multilevel"/>
    <w:tmpl w:val="CBB68F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15:restartNumberingAfterBreak="0">
    <w:nsid w:val="0F0D1A7B"/>
    <w:multiLevelType w:val="hybridMultilevel"/>
    <w:tmpl w:val="4B3835C8"/>
    <w:lvl w:ilvl="0" w:tplc="CC16167C">
      <w:start w:val="1"/>
      <w:numFmt w:val="bullet"/>
      <w:lvlText w:val=""/>
      <w:lvlJc w:val="left"/>
      <w:pPr>
        <w:ind w:left="1256" w:hanging="360"/>
      </w:pPr>
      <w:rPr>
        <w:rFonts w:ascii="Symbol" w:hAnsi="Symbol" w:hint="default"/>
      </w:rPr>
    </w:lvl>
    <w:lvl w:ilvl="1" w:tplc="04190003">
      <w:start w:val="1"/>
      <w:numFmt w:val="bullet"/>
      <w:lvlText w:val="o"/>
      <w:lvlJc w:val="left"/>
      <w:pPr>
        <w:ind w:left="1976" w:hanging="360"/>
      </w:pPr>
      <w:rPr>
        <w:rFonts w:ascii="Courier New" w:hAnsi="Courier New" w:hint="default"/>
      </w:rPr>
    </w:lvl>
    <w:lvl w:ilvl="2" w:tplc="04190005">
      <w:start w:val="1"/>
      <w:numFmt w:val="bullet"/>
      <w:lvlText w:val=""/>
      <w:lvlJc w:val="left"/>
      <w:pPr>
        <w:ind w:left="2696" w:hanging="360"/>
      </w:pPr>
      <w:rPr>
        <w:rFonts w:ascii="Wingdings" w:hAnsi="Wingdings" w:hint="default"/>
      </w:rPr>
    </w:lvl>
    <w:lvl w:ilvl="3" w:tplc="04190001">
      <w:start w:val="1"/>
      <w:numFmt w:val="bullet"/>
      <w:lvlText w:val=""/>
      <w:lvlJc w:val="left"/>
      <w:pPr>
        <w:ind w:left="3416" w:hanging="360"/>
      </w:pPr>
      <w:rPr>
        <w:rFonts w:ascii="Symbol" w:hAnsi="Symbol" w:hint="default"/>
      </w:rPr>
    </w:lvl>
    <w:lvl w:ilvl="4" w:tplc="04190003">
      <w:start w:val="1"/>
      <w:numFmt w:val="bullet"/>
      <w:lvlText w:val="o"/>
      <w:lvlJc w:val="left"/>
      <w:pPr>
        <w:ind w:left="4136" w:hanging="360"/>
      </w:pPr>
      <w:rPr>
        <w:rFonts w:ascii="Courier New" w:hAnsi="Courier New" w:hint="default"/>
      </w:rPr>
    </w:lvl>
    <w:lvl w:ilvl="5" w:tplc="04190005">
      <w:start w:val="1"/>
      <w:numFmt w:val="bullet"/>
      <w:lvlText w:val=""/>
      <w:lvlJc w:val="left"/>
      <w:pPr>
        <w:ind w:left="4856" w:hanging="360"/>
      </w:pPr>
      <w:rPr>
        <w:rFonts w:ascii="Wingdings" w:hAnsi="Wingdings" w:hint="default"/>
      </w:rPr>
    </w:lvl>
    <w:lvl w:ilvl="6" w:tplc="04190001">
      <w:start w:val="1"/>
      <w:numFmt w:val="bullet"/>
      <w:lvlText w:val=""/>
      <w:lvlJc w:val="left"/>
      <w:pPr>
        <w:ind w:left="5576" w:hanging="360"/>
      </w:pPr>
      <w:rPr>
        <w:rFonts w:ascii="Symbol" w:hAnsi="Symbol" w:hint="default"/>
      </w:rPr>
    </w:lvl>
    <w:lvl w:ilvl="7" w:tplc="04190003">
      <w:start w:val="1"/>
      <w:numFmt w:val="bullet"/>
      <w:lvlText w:val="o"/>
      <w:lvlJc w:val="left"/>
      <w:pPr>
        <w:ind w:left="6296" w:hanging="360"/>
      </w:pPr>
      <w:rPr>
        <w:rFonts w:ascii="Courier New" w:hAnsi="Courier New" w:hint="default"/>
      </w:rPr>
    </w:lvl>
    <w:lvl w:ilvl="8" w:tplc="04190005">
      <w:start w:val="1"/>
      <w:numFmt w:val="bullet"/>
      <w:lvlText w:val=""/>
      <w:lvlJc w:val="left"/>
      <w:pPr>
        <w:ind w:left="7016" w:hanging="360"/>
      </w:pPr>
      <w:rPr>
        <w:rFonts w:ascii="Wingdings" w:hAnsi="Wingdings" w:hint="default"/>
      </w:rPr>
    </w:lvl>
  </w:abstractNum>
  <w:abstractNum w:abstractNumId="2" w15:restartNumberingAfterBreak="0">
    <w:nsid w:val="2637503A"/>
    <w:multiLevelType w:val="multilevel"/>
    <w:tmpl w:val="26CEF858"/>
    <w:styleLink w:val="WWNum2"/>
    <w:lvl w:ilvl="0">
      <w:numFmt w:val="bullet"/>
      <w:lvlText w:val="-"/>
      <w:lvlJc w:val="left"/>
      <w:pPr>
        <w:ind w:left="720" w:hanging="360"/>
      </w:pPr>
      <w:rPr>
        <w:rFonts w:ascii="Calibri" w:hAnsi="Calibri"/>
        <w:color w:val="000000"/>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21B6982"/>
    <w:multiLevelType w:val="hybridMultilevel"/>
    <w:tmpl w:val="C9AC41D8"/>
    <w:lvl w:ilvl="0" w:tplc="D58C1C2E">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3AC02544"/>
    <w:multiLevelType w:val="hybridMultilevel"/>
    <w:tmpl w:val="E2347C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0792BC8"/>
    <w:multiLevelType w:val="hybridMultilevel"/>
    <w:tmpl w:val="869458BE"/>
    <w:lvl w:ilvl="0" w:tplc="0692558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 w15:restartNumberingAfterBreak="0">
    <w:nsid w:val="48A951D3"/>
    <w:multiLevelType w:val="hybridMultilevel"/>
    <w:tmpl w:val="B22025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A03158D"/>
    <w:multiLevelType w:val="hybridMultilevel"/>
    <w:tmpl w:val="CB46B5FE"/>
    <w:lvl w:ilvl="0" w:tplc="2F8A4EAA">
      <w:start w:val="26"/>
      <w:numFmt w:val="bullet"/>
      <w:lvlText w:val="­"/>
      <w:lvlJc w:val="left"/>
      <w:pPr>
        <w:tabs>
          <w:tab w:val="num" w:pos="1455"/>
        </w:tabs>
        <w:ind w:left="1455" w:hanging="360"/>
      </w:pPr>
      <w:rPr>
        <w:rFonts w:ascii="Times New Roman" w:eastAsia="MS Mincho" w:hAnsi="Times New Roman" w:hint="default"/>
      </w:rPr>
    </w:lvl>
    <w:lvl w:ilvl="1" w:tplc="04190003" w:tentative="1">
      <w:start w:val="1"/>
      <w:numFmt w:val="bullet"/>
      <w:lvlText w:val="o"/>
      <w:lvlJc w:val="left"/>
      <w:pPr>
        <w:tabs>
          <w:tab w:val="num" w:pos="1635"/>
        </w:tabs>
        <w:ind w:left="1635" w:hanging="360"/>
      </w:pPr>
      <w:rPr>
        <w:rFonts w:ascii="Courier New" w:hAnsi="Courier New" w:hint="default"/>
      </w:rPr>
    </w:lvl>
    <w:lvl w:ilvl="2" w:tplc="04190005" w:tentative="1">
      <w:start w:val="1"/>
      <w:numFmt w:val="bullet"/>
      <w:lvlText w:val=""/>
      <w:lvlJc w:val="left"/>
      <w:pPr>
        <w:tabs>
          <w:tab w:val="num" w:pos="2355"/>
        </w:tabs>
        <w:ind w:left="2355" w:hanging="360"/>
      </w:pPr>
      <w:rPr>
        <w:rFonts w:ascii="Wingdings" w:hAnsi="Wingdings" w:hint="default"/>
      </w:rPr>
    </w:lvl>
    <w:lvl w:ilvl="3" w:tplc="04190001" w:tentative="1">
      <w:start w:val="1"/>
      <w:numFmt w:val="bullet"/>
      <w:lvlText w:val=""/>
      <w:lvlJc w:val="left"/>
      <w:pPr>
        <w:tabs>
          <w:tab w:val="num" w:pos="3075"/>
        </w:tabs>
        <w:ind w:left="3075" w:hanging="360"/>
      </w:pPr>
      <w:rPr>
        <w:rFonts w:ascii="Symbol" w:hAnsi="Symbol" w:hint="default"/>
      </w:rPr>
    </w:lvl>
    <w:lvl w:ilvl="4" w:tplc="04190003" w:tentative="1">
      <w:start w:val="1"/>
      <w:numFmt w:val="bullet"/>
      <w:lvlText w:val="o"/>
      <w:lvlJc w:val="left"/>
      <w:pPr>
        <w:tabs>
          <w:tab w:val="num" w:pos="3795"/>
        </w:tabs>
        <w:ind w:left="3795" w:hanging="360"/>
      </w:pPr>
      <w:rPr>
        <w:rFonts w:ascii="Courier New" w:hAnsi="Courier New" w:hint="default"/>
      </w:rPr>
    </w:lvl>
    <w:lvl w:ilvl="5" w:tplc="04190005" w:tentative="1">
      <w:start w:val="1"/>
      <w:numFmt w:val="bullet"/>
      <w:lvlText w:val=""/>
      <w:lvlJc w:val="left"/>
      <w:pPr>
        <w:tabs>
          <w:tab w:val="num" w:pos="4515"/>
        </w:tabs>
        <w:ind w:left="4515" w:hanging="360"/>
      </w:pPr>
      <w:rPr>
        <w:rFonts w:ascii="Wingdings" w:hAnsi="Wingdings" w:hint="default"/>
      </w:rPr>
    </w:lvl>
    <w:lvl w:ilvl="6" w:tplc="04190001" w:tentative="1">
      <w:start w:val="1"/>
      <w:numFmt w:val="bullet"/>
      <w:lvlText w:val=""/>
      <w:lvlJc w:val="left"/>
      <w:pPr>
        <w:tabs>
          <w:tab w:val="num" w:pos="5235"/>
        </w:tabs>
        <w:ind w:left="5235" w:hanging="360"/>
      </w:pPr>
      <w:rPr>
        <w:rFonts w:ascii="Symbol" w:hAnsi="Symbol" w:hint="default"/>
      </w:rPr>
    </w:lvl>
    <w:lvl w:ilvl="7" w:tplc="04190003" w:tentative="1">
      <w:start w:val="1"/>
      <w:numFmt w:val="bullet"/>
      <w:lvlText w:val="o"/>
      <w:lvlJc w:val="left"/>
      <w:pPr>
        <w:tabs>
          <w:tab w:val="num" w:pos="5955"/>
        </w:tabs>
        <w:ind w:left="5955" w:hanging="360"/>
      </w:pPr>
      <w:rPr>
        <w:rFonts w:ascii="Courier New" w:hAnsi="Courier New" w:hint="default"/>
      </w:rPr>
    </w:lvl>
    <w:lvl w:ilvl="8" w:tplc="04190005" w:tentative="1">
      <w:start w:val="1"/>
      <w:numFmt w:val="bullet"/>
      <w:lvlText w:val=""/>
      <w:lvlJc w:val="left"/>
      <w:pPr>
        <w:tabs>
          <w:tab w:val="num" w:pos="6675"/>
        </w:tabs>
        <w:ind w:left="6675" w:hanging="360"/>
      </w:pPr>
      <w:rPr>
        <w:rFonts w:ascii="Wingdings" w:hAnsi="Wingdings" w:hint="default"/>
      </w:rPr>
    </w:lvl>
  </w:abstractNum>
  <w:abstractNum w:abstractNumId="8" w15:restartNumberingAfterBreak="0">
    <w:nsid w:val="4E026300"/>
    <w:multiLevelType w:val="hybridMultilevel"/>
    <w:tmpl w:val="515E1160"/>
    <w:lvl w:ilvl="0" w:tplc="4290E5F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3724659"/>
    <w:multiLevelType w:val="hybridMultilevel"/>
    <w:tmpl w:val="FAB824A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6AD4BCF"/>
    <w:multiLevelType w:val="multilevel"/>
    <w:tmpl w:val="23CEFBB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69DE34F8"/>
    <w:multiLevelType w:val="hybridMultilevel"/>
    <w:tmpl w:val="A35ECB84"/>
    <w:lvl w:ilvl="0" w:tplc="CBC282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DCA0DEE"/>
    <w:multiLevelType w:val="multilevel"/>
    <w:tmpl w:val="BA36445A"/>
    <w:lvl w:ilvl="0">
      <w:start w:val="1"/>
      <w:numFmt w:val="bullet"/>
      <w:lvlText w:val=""/>
      <w:lvlJc w:val="left"/>
      <w:pPr>
        <w:tabs>
          <w:tab w:val="num" w:pos="1146"/>
        </w:tabs>
        <w:ind w:left="1146" w:hanging="720"/>
      </w:pPr>
      <w:rPr>
        <w:rFonts w:ascii="Symbol" w:hAnsi="Symbol" w:hint="default"/>
        <w:strike w:val="0"/>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5"/>
  </w:num>
  <w:num w:numId="3">
    <w:abstractNumId w:val="1"/>
  </w:num>
  <w:num w:numId="4">
    <w:abstractNumId w:val="8"/>
  </w:num>
  <w:num w:numId="5">
    <w:abstractNumId w:val="3"/>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6"/>
  </w:num>
  <w:num w:numId="12">
    <w:abstractNumId w:val="7"/>
  </w:num>
  <w:num w:numId="13">
    <w:abstractNumId w:val="2"/>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C2F"/>
    <w:rsid w:val="00043C4C"/>
    <w:rsid w:val="00083655"/>
    <w:rsid w:val="00083C1F"/>
    <w:rsid w:val="000868B6"/>
    <w:rsid w:val="000933F9"/>
    <w:rsid w:val="000E32EB"/>
    <w:rsid w:val="000F0EBE"/>
    <w:rsid w:val="000F2E86"/>
    <w:rsid w:val="000F318C"/>
    <w:rsid w:val="0014459E"/>
    <w:rsid w:val="001472CA"/>
    <w:rsid w:val="0017280C"/>
    <w:rsid w:val="00174E14"/>
    <w:rsid w:val="001801B0"/>
    <w:rsid w:val="001828BF"/>
    <w:rsid w:val="00185D5D"/>
    <w:rsid w:val="001A62C3"/>
    <w:rsid w:val="001C2B35"/>
    <w:rsid w:val="001C3BAD"/>
    <w:rsid w:val="002064DA"/>
    <w:rsid w:val="00212F7B"/>
    <w:rsid w:val="00226218"/>
    <w:rsid w:val="00235D77"/>
    <w:rsid w:val="00255C4A"/>
    <w:rsid w:val="00263C1E"/>
    <w:rsid w:val="00277E4C"/>
    <w:rsid w:val="00334F78"/>
    <w:rsid w:val="003366D9"/>
    <w:rsid w:val="00347923"/>
    <w:rsid w:val="00351B92"/>
    <w:rsid w:val="0036083D"/>
    <w:rsid w:val="003736F6"/>
    <w:rsid w:val="003942F1"/>
    <w:rsid w:val="003A6CAE"/>
    <w:rsid w:val="003B071D"/>
    <w:rsid w:val="003B5D00"/>
    <w:rsid w:val="003E1266"/>
    <w:rsid w:val="00400C5A"/>
    <w:rsid w:val="00401822"/>
    <w:rsid w:val="00406980"/>
    <w:rsid w:val="00413073"/>
    <w:rsid w:val="004160B6"/>
    <w:rsid w:val="0042003C"/>
    <w:rsid w:val="00434AB5"/>
    <w:rsid w:val="00461129"/>
    <w:rsid w:val="004F0BCD"/>
    <w:rsid w:val="005261E6"/>
    <w:rsid w:val="005308DD"/>
    <w:rsid w:val="00557B65"/>
    <w:rsid w:val="005645E2"/>
    <w:rsid w:val="00573480"/>
    <w:rsid w:val="005801B3"/>
    <w:rsid w:val="00584556"/>
    <w:rsid w:val="00596EDB"/>
    <w:rsid w:val="005A7AC2"/>
    <w:rsid w:val="005A7BAB"/>
    <w:rsid w:val="005B1ADB"/>
    <w:rsid w:val="005D0B7E"/>
    <w:rsid w:val="005E1041"/>
    <w:rsid w:val="005E2A0A"/>
    <w:rsid w:val="006156B1"/>
    <w:rsid w:val="006277F4"/>
    <w:rsid w:val="00637F98"/>
    <w:rsid w:val="00656C75"/>
    <w:rsid w:val="006765C5"/>
    <w:rsid w:val="006837CF"/>
    <w:rsid w:val="00683C64"/>
    <w:rsid w:val="006B6D27"/>
    <w:rsid w:val="006D6201"/>
    <w:rsid w:val="00711477"/>
    <w:rsid w:val="007237ED"/>
    <w:rsid w:val="00734B92"/>
    <w:rsid w:val="007609E8"/>
    <w:rsid w:val="00764B1E"/>
    <w:rsid w:val="007875C1"/>
    <w:rsid w:val="007B6FBD"/>
    <w:rsid w:val="007C2FD3"/>
    <w:rsid w:val="007D59B5"/>
    <w:rsid w:val="007F58A3"/>
    <w:rsid w:val="00806E7C"/>
    <w:rsid w:val="00810807"/>
    <w:rsid w:val="008135C6"/>
    <w:rsid w:val="00824534"/>
    <w:rsid w:val="00872B22"/>
    <w:rsid w:val="00890C4E"/>
    <w:rsid w:val="008C6C43"/>
    <w:rsid w:val="008C7FA1"/>
    <w:rsid w:val="00906EB1"/>
    <w:rsid w:val="00912A4A"/>
    <w:rsid w:val="009319BE"/>
    <w:rsid w:val="009415F0"/>
    <w:rsid w:val="00962173"/>
    <w:rsid w:val="009644C4"/>
    <w:rsid w:val="009B262B"/>
    <w:rsid w:val="009C69B5"/>
    <w:rsid w:val="009D3F66"/>
    <w:rsid w:val="00A03A91"/>
    <w:rsid w:val="00A04BD5"/>
    <w:rsid w:val="00A0578B"/>
    <w:rsid w:val="00A1489C"/>
    <w:rsid w:val="00A50427"/>
    <w:rsid w:val="00A532D9"/>
    <w:rsid w:val="00A61156"/>
    <w:rsid w:val="00A80E01"/>
    <w:rsid w:val="00AA1375"/>
    <w:rsid w:val="00B04FA8"/>
    <w:rsid w:val="00B07228"/>
    <w:rsid w:val="00B30195"/>
    <w:rsid w:val="00B41C2F"/>
    <w:rsid w:val="00B56C0B"/>
    <w:rsid w:val="00B67C2B"/>
    <w:rsid w:val="00BA6C03"/>
    <w:rsid w:val="00BB33CE"/>
    <w:rsid w:val="00BB56A1"/>
    <w:rsid w:val="00C0663F"/>
    <w:rsid w:val="00C16823"/>
    <w:rsid w:val="00C4287E"/>
    <w:rsid w:val="00C80C21"/>
    <w:rsid w:val="00CA1ED0"/>
    <w:rsid w:val="00CB6BD5"/>
    <w:rsid w:val="00CC5C47"/>
    <w:rsid w:val="00CF2C11"/>
    <w:rsid w:val="00D042B8"/>
    <w:rsid w:val="00D04685"/>
    <w:rsid w:val="00D20F7C"/>
    <w:rsid w:val="00D42EA2"/>
    <w:rsid w:val="00D446FE"/>
    <w:rsid w:val="00D47622"/>
    <w:rsid w:val="00D812D5"/>
    <w:rsid w:val="00D91F65"/>
    <w:rsid w:val="00DB407C"/>
    <w:rsid w:val="00DD0E61"/>
    <w:rsid w:val="00DD3E02"/>
    <w:rsid w:val="00DF26AE"/>
    <w:rsid w:val="00E83455"/>
    <w:rsid w:val="00EA2D8C"/>
    <w:rsid w:val="00EA41AA"/>
    <w:rsid w:val="00EB72AB"/>
    <w:rsid w:val="00EB7A5E"/>
    <w:rsid w:val="00EC19CA"/>
    <w:rsid w:val="00EE308C"/>
    <w:rsid w:val="00F01917"/>
    <w:rsid w:val="00F25A3D"/>
    <w:rsid w:val="00F3539A"/>
    <w:rsid w:val="00F7003A"/>
    <w:rsid w:val="00F87577"/>
    <w:rsid w:val="00FA432B"/>
    <w:rsid w:val="00FA6723"/>
    <w:rsid w:val="00FB7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D03A8E-C861-4970-A1CD-3A232939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5C1"/>
    <w:pPr>
      <w:spacing w:after="160" w:line="259" w:lineRule="auto"/>
    </w:pPr>
    <w:rPr>
      <w:sz w:val="22"/>
      <w:szCs w:val="22"/>
      <w:lang w:val="ru-RU" w:eastAsia="en-US"/>
    </w:rPr>
  </w:style>
  <w:style w:type="paragraph" w:styleId="2">
    <w:name w:val="heading 2"/>
    <w:basedOn w:val="a"/>
    <w:link w:val="20"/>
    <w:uiPriority w:val="99"/>
    <w:qFormat/>
    <w:locked/>
    <w:rsid w:val="001472CA"/>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9"/>
    <w:qFormat/>
    <w:locked/>
    <w:rsid w:val="00D91F65"/>
    <w:pPr>
      <w:keepNext/>
      <w:widowControl w:val="0"/>
      <w:suppressAutoHyphens/>
      <w:autoSpaceDN w:val="0"/>
      <w:spacing w:before="240" w:after="60" w:line="240" w:lineRule="auto"/>
      <w:textAlignment w:val="baseline"/>
      <w:outlineLvl w:val="2"/>
    </w:pPr>
    <w:rPr>
      <w:rFonts w:ascii="Calibri Light" w:hAnsi="Calibri Ligh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557B65"/>
    <w:rPr>
      <w:rFonts w:ascii="Cambria" w:hAnsi="Cambria" w:cs="Times New Roman"/>
      <w:b/>
      <w:bCs/>
      <w:i/>
      <w:iCs/>
      <w:sz w:val="28"/>
      <w:szCs w:val="28"/>
      <w:lang w:eastAsia="en-US"/>
    </w:rPr>
  </w:style>
  <w:style w:type="character" w:customStyle="1" w:styleId="Heading3Char">
    <w:name w:val="Heading 3 Char"/>
    <w:uiPriority w:val="99"/>
    <w:semiHidden/>
    <w:locked/>
    <w:rsid w:val="00A50427"/>
    <w:rPr>
      <w:rFonts w:ascii="Cambria" w:hAnsi="Cambria" w:cs="Times New Roman"/>
      <w:b/>
      <w:bCs/>
      <w:sz w:val="26"/>
      <w:szCs w:val="26"/>
      <w:lang w:eastAsia="en-US"/>
    </w:rPr>
  </w:style>
  <w:style w:type="table" w:styleId="a3">
    <w:name w:val="Table Grid"/>
    <w:basedOn w:val="a1"/>
    <w:uiPriority w:val="99"/>
    <w:rsid w:val="00B07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99"/>
    <w:qFormat/>
    <w:rsid w:val="00B07228"/>
    <w:rPr>
      <w:sz w:val="22"/>
      <w:szCs w:val="22"/>
      <w:lang w:val="ru-RU" w:eastAsia="en-US"/>
    </w:rPr>
  </w:style>
  <w:style w:type="paragraph" w:styleId="a6">
    <w:name w:val="Balloon Text"/>
    <w:basedOn w:val="a"/>
    <w:link w:val="a7"/>
    <w:uiPriority w:val="99"/>
    <w:semiHidden/>
    <w:rsid w:val="00B07228"/>
    <w:pPr>
      <w:spacing w:after="0" w:line="240" w:lineRule="auto"/>
    </w:pPr>
    <w:rPr>
      <w:rFonts w:ascii="Segoe UI" w:hAnsi="Segoe UI" w:cs="Segoe UI"/>
      <w:sz w:val="18"/>
      <w:szCs w:val="18"/>
    </w:rPr>
  </w:style>
  <w:style w:type="character" w:customStyle="1" w:styleId="a7">
    <w:name w:val="Текст у виносці Знак"/>
    <w:link w:val="a6"/>
    <w:uiPriority w:val="99"/>
    <w:semiHidden/>
    <w:locked/>
    <w:rsid w:val="00B07228"/>
    <w:rPr>
      <w:rFonts w:ascii="Segoe UI" w:hAnsi="Segoe UI" w:cs="Segoe UI"/>
      <w:sz w:val="18"/>
      <w:szCs w:val="18"/>
    </w:rPr>
  </w:style>
  <w:style w:type="paragraph" w:styleId="a8">
    <w:name w:val="List Paragraph"/>
    <w:aliases w:val="body 2,List Paragraph11,Mummuga loetelu,Loendi lõik,2,List Paragraph à moi,Dot pt,No Spacing1,List Paragraph Char Char Char,Indicator Text,Numbered Para 1,Welt L Char,Welt L,Bullet List,FooterText,numbered,列出段落,列出段落1,Bullet 1,Абзац списк"/>
    <w:basedOn w:val="a"/>
    <w:link w:val="a9"/>
    <w:uiPriority w:val="99"/>
    <w:qFormat/>
    <w:rsid w:val="000F318C"/>
    <w:pPr>
      <w:spacing w:after="200" w:line="276" w:lineRule="auto"/>
      <w:ind w:left="720"/>
      <w:contextualSpacing/>
    </w:pPr>
  </w:style>
  <w:style w:type="character" w:customStyle="1" w:styleId="a9">
    <w:name w:val="Абзац списку Знак"/>
    <w:aliases w:val="body 2 Знак,List Paragraph11 Знак,Mummuga loetelu Знак,Loendi lõik Знак,2 Знак,List Paragraph à moi Знак,Dot pt Знак,No Spacing1 Знак,List Paragraph Char Char Char Знак,Indicator Text Знак,Numbered Para 1 Знак,Welt L Char Знак"/>
    <w:link w:val="a8"/>
    <w:uiPriority w:val="99"/>
    <w:locked/>
    <w:rsid w:val="000F318C"/>
  </w:style>
  <w:style w:type="paragraph" w:customStyle="1" w:styleId="TableParagraph">
    <w:name w:val="Table Paragraph"/>
    <w:basedOn w:val="a"/>
    <w:uiPriority w:val="99"/>
    <w:rsid w:val="00D812D5"/>
    <w:pPr>
      <w:widowControl w:val="0"/>
      <w:autoSpaceDE w:val="0"/>
      <w:autoSpaceDN w:val="0"/>
      <w:spacing w:after="0" w:line="240" w:lineRule="auto"/>
    </w:pPr>
    <w:rPr>
      <w:rFonts w:ascii="Times New Roman" w:eastAsia="Times New Roman" w:hAnsi="Times New Roman"/>
      <w:lang w:eastAsia="ru-RU"/>
    </w:rPr>
  </w:style>
  <w:style w:type="paragraph" w:styleId="aa">
    <w:name w:val="header"/>
    <w:basedOn w:val="a"/>
    <w:link w:val="ab"/>
    <w:uiPriority w:val="99"/>
    <w:rsid w:val="00764B1E"/>
    <w:pPr>
      <w:tabs>
        <w:tab w:val="center" w:pos="4677"/>
        <w:tab w:val="right" w:pos="9355"/>
      </w:tabs>
      <w:spacing w:after="0" w:line="240" w:lineRule="auto"/>
    </w:pPr>
  </w:style>
  <w:style w:type="character" w:customStyle="1" w:styleId="ab">
    <w:name w:val="Верхній колонтитул Знак"/>
    <w:link w:val="aa"/>
    <w:uiPriority w:val="99"/>
    <w:locked/>
    <w:rsid w:val="00764B1E"/>
    <w:rPr>
      <w:rFonts w:cs="Times New Roman"/>
    </w:rPr>
  </w:style>
  <w:style w:type="paragraph" w:styleId="ac">
    <w:name w:val="footer"/>
    <w:basedOn w:val="a"/>
    <w:link w:val="ad"/>
    <w:uiPriority w:val="99"/>
    <w:rsid w:val="00764B1E"/>
    <w:pPr>
      <w:tabs>
        <w:tab w:val="center" w:pos="4677"/>
        <w:tab w:val="right" w:pos="9355"/>
      </w:tabs>
      <w:spacing w:after="0" w:line="240" w:lineRule="auto"/>
    </w:pPr>
  </w:style>
  <w:style w:type="character" w:customStyle="1" w:styleId="ad">
    <w:name w:val="Нижній колонтитул Знак"/>
    <w:link w:val="ac"/>
    <w:uiPriority w:val="99"/>
    <w:locked/>
    <w:rsid w:val="00764B1E"/>
    <w:rPr>
      <w:rFonts w:cs="Times New Roman"/>
    </w:rPr>
  </w:style>
  <w:style w:type="character" w:customStyle="1" w:styleId="ae">
    <w:name w:val="Основний текст_"/>
    <w:link w:val="1"/>
    <w:uiPriority w:val="99"/>
    <w:locked/>
    <w:rsid w:val="00185D5D"/>
    <w:rPr>
      <w:rFonts w:ascii="Batang" w:eastAsia="Batang" w:hAnsi="Batang" w:cs="Batang"/>
      <w:spacing w:val="6"/>
      <w:sz w:val="21"/>
      <w:szCs w:val="21"/>
      <w:shd w:val="clear" w:color="auto" w:fill="FFFFFF"/>
    </w:rPr>
  </w:style>
  <w:style w:type="paragraph" w:customStyle="1" w:styleId="1">
    <w:name w:val="Основний текст1"/>
    <w:basedOn w:val="a"/>
    <w:link w:val="ae"/>
    <w:uiPriority w:val="99"/>
    <w:rsid w:val="00185D5D"/>
    <w:pPr>
      <w:shd w:val="clear" w:color="auto" w:fill="FFFFFF"/>
      <w:spacing w:after="120" w:line="317" w:lineRule="exact"/>
      <w:jc w:val="both"/>
    </w:pPr>
    <w:rPr>
      <w:rFonts w:ascii="Batang" w:eastAsia="Batang" w:hAnsi="Batang" w:cs="Batang"/>
      <w:spacing w:val="6"/>
      <w:sz w:val="21"/>
      <w:szCs w:val="21"/>
    </w:rPr>
  </w:style>
  <w:style w:type="character" w:customStyle="1" w:styleId="a5">
    <w:name w:val="Без інтервалів Знак"/>
    <w:link w:val="a4"/>
    <w:uiPriority w:val="99"/>
    <w:locked/>
    <w:rsid w:val="00824534"/>
    <w:rPr>
      <w:sz w:val="22"/>
      <w:lang w:val="ru-RU" w:eastAsia="en-US"/>
    </w:rPr>
  </w:style>
  <w:style w:type="paragraph" w:styleId="af">
    <w:name w:val="Normal (Web)"/>
    <w:basedOn w:val="a"/>
    <w:uiPriority w:val="99"/>
    <w:semiHidden/>
    <w:rsid w:val="00EA41AA"/>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Body Text"/>
    <w:basedOn w:val="a"/>
    <w:link w:val="af1"/>
    <w:uiPriority w:val="99"/>
    <w:rsid w:val="009C69B5"/>
    <w:pPr>
      <w:widowControl w:val="0"/>
      <w:spacing w:after="0" w:line="240" w:lineRule="auto"/>
      <w:jc w:val="both"/>
    </w:pPr>
    <w:rPr>
      <w:rFonts w:ascii="Times New Roman" w:eastAsia="Times New Roman" w:hAnsi="Times New Roman"/>
      <w:lang w:val="uk-UA" w:eastAsia="ru-RU"/>
    </w:rPr>
  </w:style>
  <w:style w:type="character" w:customStyle="1" w:styleId="af1">
    <w:name w:val="Основний текст Знак"/>
    <w:link w:val="af0"/>
    <w:uiPriority w:val="99"/>
    <w:locked/>
    <w:rsid w:val="009C69B5"/>
    <w:rPr>
      <w:rFonts w:eastAsia="Times New Roman" w:cs="Times New Roman"/>
      <w:sz w:val="22"/>
      <w:szCs w:val="22"/>
      <w:lang w:val="uk-UA" w:eastAsia="ru-RU" w:bidi="ar-SA"/>
    </w:rPr>
  </w:style>
  <w:style w:type="character" w:styleId="af2">
    <w:name w:val="Hyperlink"/>
    <w:uiPriority w:val="99"/>
    <w:rsid w:val="00C4287E"/>
    <w:rPr>
      <w:rFonts w:cs="Times New Roman"/>
      <w:color w:val="0000FF"/>
      <w:u w:val="single"/>
    </w:rPr>
  </w:style>
  <w:style w:type="paragraph" w:customStyle="1" w:styleId="af3">
    <w:name w:val="Без интервала"/>
    <w:link w:val="af4"/>
    <w:uiPriority w:val="99"/>
    <w:rsid w:val="00C4287E"/>
    <w:rPr>
      <w:sz w:val="22"/>
      <w:szCs w:val="22"/>
      <w:lang w:val="ru-RU" w:eastAsia="en-US"/>
    </w:rPr>
  </w:style>
  <w:style w:type="character" w:customStyle="1" w:styleId="af4">
    <w:name w:val="Без интервала Знак"/>
    <w:link w:val="af3"/>
    <w:uiPriority w:val="99"/>
    <w:locked/>
    <w:rsid w:val="00C4287E"/>
    <w:rPr>
      <w:sz w:val="22"/>
      <w:lang w:val="ru-RU" w:eastAsia="en-US"/>
    </w:rPr>
  </w:style>
  <w:style w:type="paragraph" w:styleId="21">
    <w:name w:val="Body Text 2"/>
    <w:basedOn w:val="a"/>
    <w:link w:val="22"/>
    <w:uiPriority w:val="99"/>
    <w:rsid w:val="00043C4C"/>
    <w:pPr>
      <w:spacing w:after="120" w:line="480" w:lineRule="auto"/>
    </w:pPr>
    <w:rPr>
      <w:rFonts w:ascii="Times New Roman" w:eastAsia="Times New Roman" w:hAnsi="Times New Roman"/>
      <w:sz w:val="24"/>
      <w:szCs w:val="24"/>
      <w:lang w:val="uk-UA" w:eastAsia="ru-RU"/>
    </w:rPr>
  </w:style>
  <w:style w:type="character" w:customStyle="1" w:styleId="22">
    <w:name w:val="Основний текст 2 Знак"/>
    <w:link w:val="21"/>
    <w:uiPriority w:val="99"/>
    <w:locked/>
    <w:rsid w:val="00043C4C"/>
    <w:rPr>
      <w:rFonts w:eastAsia="Times New Roman" w:cs="Times New Roman"/>
      <w:sz w:val="24"/>
      <w:szCs w:val="24"/>
      <w:lang w:val="uk-UA" w:eastAsia="ru-RU" w:bidi="ar-SA"/>
    </w:rPr>
  </w:style>
  <w:style w:type="paragraph" w:customStyle="1" w:styleId="Standard">
    <w:name w:val="Standard"/>
    <w:uiPriority w:val="99"/>
    <w:rsid w:val="00D91F65"/>
    <w:pPr>
      <w:suppressAutoHyphens/>
      <w:autoSpaceDN w:val="0"/>
      <w:spacing w:after="200" w:line="276" w:lineRule="auto"/>
      <w:textAlignment w:val="baseline"/>
    </w:pPr>
    <w:rPr>
      <w:rFonts w:eastAsia="Times New Roman" w:cs="DejaVu Sans"/>
      <w:sz w:val="22"/>
      <w:szCs w:val="22"/>
      <w:lang w:eastAsia="en-US"/>
    </w:rPr>
  </w:style>
  <w:style w:type="character" w:customStyle="1" w:styleId="30">
    <w:name w:val="Заголовок 3 Знак"/>
    <w:link w:val="3"/>
    <w:uiPriority w:val="99"/>
    <w:semiHidden/>
    <w:locked/>
    <w:rsid w:val="00D91F65"/>
    <w:rPr>
      <w:rFonts w:ascii="Calibri Light" w:hAnsi="Calibri Light"/>
      <w:b/>
      <w:sz w:val="26"/>
      <w:lang w:val="ru-RU" w:eastAsia="en-US"/>
    </w:rPr>
  </w:style>
  <w:style w:type="character" w:customStyle="1" w:styleId="ListLabel5">
    <w:name w:val="ListLabel 5"/>
    <w:uiPriority w:val="99"/>
    <w:rsid w:val="005E1041"/>
    <w:rPr>
      <w:rFonts w:ascii="Times New Roman" w:hAnsi="Times New Roman"/>
      <w:color w:val="000000"/>
      <w:sz w:val="20"/>
    </w:rPr>
  </w:style>
  <w:style w:type="numbering" w:customStyle="1" w:styleId="WWNum2">
    <w:name w:val="WWNum2"/>
    <w:rsid w:val="00F2097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1264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Pages>
  <Words>2749</Words>
  <Characters>1567</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В. Хабін</dc:creator>
  <cp:keywords/>
  <dc:description/>
  <cp:lastModifiedBy>Козаченко Інна Анатоліївна</cp:lastModifiedBy>
  <cp:revision>55</cp:revision>
  <cp:lastPrinted>2023-01-13T08:53:00Z</cp:lastPrinted>
  <dcterms:created xsi:type="dcterms:W3CDTF">2022-01-12T14:31:00Z</dcterms:created>
  <dcterms:modified xsi:type="dcterms:W3CDTF">2023-01-13T08:55:00Z</dcterms:modified>
</cp:coreProperties>
</file>