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FAB" w:rsidRDefault="008F19A1">
      <w:pPr>
        <w:pStyle w:val="1"/>
        <w:spacing w:before="81" w:line="518" w:lineRule="auto"/>
        <w:ind w:left="2767" w:right="697" w:firstLine="9811"/>
      </w:pPr>
      <w:r>
        <w:t>Форма № 01-ЗВІТ (квартальний) Звіт про виконання Програми економічного і соціального розвитку м. Києва на 2021-2023 роки за січень-вересень 2022 року</w:t>
      </w:r>
    </w:p>
    <w:p w:rsidR="00497FAB" w:rsidRDefault="008F19A1">
      <w:pPr>
        <w:spacing w:line="229" w:lineRule="exact"/>
        <w:ind w:left="6648" w:right="6549"/>
        <w:jc w:val="center"/>
        <w:rPr>
          <w:sz w:val="20"/>
        </w:rPr>
      </w:pPr>
      <w:r>
        <w:rPr>
          <w:sz w:val="20"/>
        </w:rPr>
        <w:t>Департамент соціальної політики</w:t>
      </w:r>
    </w:p>
    <w:p w:rsidR="00497FAB" w:rsidRDefault="00497FAB">
      <w:pPr>
        <w:spacing w:before="2"/>
        <w:rPr>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3118"/>
        <w:gridCol w:w="1985"/>
        <w:gridCol w:w="7229"/>
        <w:gridCol w:w="2799"/>
      </w:tblGrid>
      <w:tr w:rsidR="00497FAB" w:rsidTr="007D491D">
        <w:trPr>
          <w:trHeight w:val="712"/>
        </w:trPr>
        <w:tc>
          <w:tcPr>
            <w:tcW w:w="746" w:type="dxa"/>
          </w:tcPr>
          <w:p w:rsidR="00497FAB" w:rsidRDefault="008F19A1">
            <w:pPr>
              <w:pStyle w:val="TableParagraph"/>
              <w:spacing w:before="115"/>
              <w:ind w:left="148" w:right="119" w:firstLine="39"/>
              <w:rPr>
                <w:sz w:val="20"/>
              </w:rPr>
            </w:pPr>
            <w:r>
              <w:rPr>
                <w:sz w:val="20"/>
              </w:rPr>
              <w:t>№ п/п</w:t>
            </w:r>
          </w:p>
        </w:tc>
        <w:tc>
          <w:tcPr>
            <w:tcW w:w="3118" w:type="dxa"/>
          </w:tcPr>
          <w:p w:rsidR="00497FAB" w:rsidRDefault="00497FAB">
            <w:pPr>
              <w:pStyle w:val="TableParagraph"/>
              <w:rPr>
                <w:sz w:val="20"/>
              </w:rPr>
            </w:pPr>
          </w:p>
          <w:p w:rsidR="00497FAB" w:rsidRDefault="008F19A1">
            <w:pPr>
              <w:pStyle w:val="TableParagraph"/>
              <w:ind w:left="213"/>
              <w:rPr>
                <w:sz w:val="20"/>
              </w:rPr>
            </w:pPr>
            <w:r>
              <w:rPr>
                <w:sz w:val="20"/>
              </w:rPr>
              <w:t>Назва завдання/заходу Програми</w:t>
            </w:r>
          </w:p>
        </w:tc>
        <w:tc>
          <w:tcPr>
            <w:tcW w:w="1985" w:type="dxa"/>
          </w:tcPr>
          <w:p w:rsidR="00497FAB" w:rsidRDefault="008F19A1">
            <w:pPr>
              <w:pStyle w:val="TableParagraph"/>
              <w:ind w:left="303" w:right="291"/>
              <w:jc w:val="center"/>
              <w:rPr>
                <w:sz w:val="20"/>
              </w:rPr>
            </w:pPr>
            <w:r>
              <w:rPr>
                <w:sz w:val="20"/>
              </w:rPr>
              <w:t>Період реалізації завдання/заходу Програми, рік/роки</w:t>
            </w:r>
          </w:p>
        </w:tc>
        <w:tc>
          <w:tcPr>
            <w:tcW w:w="7229" w:type="dxa"/>
          </w:tcPr>
          <w:p w:rsidR="00497FAB" w:rsidRDefault="008F19A1">
            <w:pPr>
              <w:pStyle w:val="TableParagraph"/>
              <w:spacing w:before="115"/>
              <w:ind w:left="1630" w:right="257" w:hanging="1404"/>
              <w:rPr>
                <w:sz w:val="20"/>
              </w:rPr>
            </w:pPr>
            <w:r>
              <w:rPr>
                <w:sz w:val="20"/>
              </w:rPr>
              <w:t>Інформація про виконання завдань/заходів Програми</w:t>
            </w:r>
          </w:p>
        </w:tc>
        <w:tc>
          <w:tcPr>
            <w:tcW w:w="2799" w:type="dxa"/>
          </w:tcPr>
          <w:p w:rsidR="00497FAB" w:rsidRDefault="008F19A1" w:rsidP="007D491D">
            <w:pPr>
              <w:pStyle w:val="TableParagraph"/>
              <w:spacing w:before="115"/>
              <w:ind w:left="789" w:right="113" w:hanging="708"/>
              <w:rPr>
                <w:sz w:val="20"/>
              </w:rPr>
            </w:pPr>
            <w:r>
              <w:rPr>
                <w:sz w:val="20"/>
              </w:rPr>
              <w:t>Причини невиконання завдань/заходів Програми та заходи, які вживалися з метою забезпечення їх виконання</w:t>
            </w:r>
          </w:p>
        </w:tc>
      </w:tr>
      <w:tr w:rsidR="00497FAB" w:rsidTr="007D491D">
        <w:trPr>
          <w:trHeight w:val="229"/>
        </w:trPr>
        <w:tc>
          <w:tcPr>
            <w:tcW w:w="746" w:type="dxa"/>
          </w:tcPr>
          <w:p w:rsidR="00497FAB" w:rsidRDefault="008F19A1">
            <w:pPr>
              <w:pStyle w:val="TableParagraph"/>
              <w:spacing w:line="210" w:lineRule="exact"/>
              <w:ind w:left="10"/>
              <w:jc w:val="center"/>
              <w:rPr>
                <w:sz w:val="20"/>
              </w:rPr>
            </w:pPr>
            <w:r>
              <w:rPr>
                <w:sz w:val="20"/>
              </w:rPr>
              <w:t>1</w:t>
            </w:r>
          </w:p>
        </w:tc>
        <w:tc>
          <w:tcPr>
            <w:tcW w:w="3118" w:type="dxa"/>
          </w:tcPr>
          <w:p w:rsidR="00497FAB" w:rsidRDefault="008F19A1">
            <w:pPr>
              <w:pStyle w:val="TableParagraph"/>
              <w:spacing w:line="210" w:lineRule="exact"/>
              <w:ind w:left="10"/>
              <w:jc w:val="center"/>
              <w:rPr>
                <w:sz w:val="20"/>
              </w:rPr>
            </w:pPr>
            <w:r>
              <w:rPr>
                <w:sz w:val="20"/>
              </w:rPr>
              <w:t>2</w:t>
            </w:r>
          </w:p>
        </w:tc>
        <w:tc>
          <w:tcPr>
            <w:tcW w:w="1985" w:type="dxa"/>
          </w:tcPr>
          <w:p w:rsidR="00497FAB" w:rsidRDefault="008F19A1">
            <w:pPr>
              <w:pStyle w:val="TableParagraph"/>
              <w:spacing w:line="210" w:lineRule="exact"/>
              <w:ind w:left="9"/>
              <w:jc w:val="center"/>
              <w:rPr>
                <w:sz w:val="20"/>
              </w:rPr>
            </w:pPr>
            <w:r>
              <w:rPr>
                <w:sz w:val="20"/>
              </w:rPr>
              <w:t>3</w:t>
            </w:r>
          </w:p>
        </w:tc>
        <w:tc>
          <w:tcPr>
            <w:tcW w:w="7229" w:type="dxa"/>
          </w:tcPr>
          <w:p w:rsidR="00497FAB" w:rsidRDefault="008F19A1">
            <w:pPr>
              <w:pStyle w:val="TableParagraph"/>
              <w:spacing w:line="210" w:lineRule="exact"/>
              <w:ind w:left="25"/>
              <w:jc w:val="center"/>
              <w:rPr>
                <w:sz w:val="20"/>
              </w:rPr>
            </w:pPr>
            <w:r>
              <w:rPr>
                <w:sz w:val="20"/>
              </w:rPr>
              <w:t>4</w:t>
            </w:r>
          </w:p>
        </w:tc>
        <w:tc>
          <w:tcPr>
            <w:tcW w:w="2799" w:type="dxa"/>
          </w:tcPr>
          <w:p w:rsidR="00497FAB" w:rsidRDefault="008F19A1">
            <w:pPr>
              <w:pStyle w:val="TableParagraph"/>
              <w:spacing w:line="210" w:lineRule="exact"/>
              <w:ind w:left="24"/>
              <w:jc w:val="center"/>
              <w:rPr>
                <w:sz w:val="20"/>
              </w:rPr>
            </w:pPr>
            <w:r>
              <w:rPr>
                <w:sz w:val="20"/>
              </w:rPr>
              <w:t>5</w:t>
            </w:r>
          </w:p>
        </w:tc>
      </w:tr>
      <w:tr w:rsidR="00497FAB">
        <w:trPr>
          <w:trHeight w:val="229"/>
        </w:trPr>
        <w:tc>
          <w:tcPr>
            <w:tcW w:w="15877" w:type="dxa"/>
            <w:gridSpan w:val="5"/>
          </w:tcPr>
          <w:p w:rsidR="00497FAB" w:rsidRDefault="008F19A1">
            <w:pPr>
              <w:pStyle w:val="TableParagraph"/>
              <w:spacing w:line="210" w:lineRule="exact"/>
              <w:ind w:left="108"/>
              <w:rPr>
                <w:b/>
                <w:sz w:val="20"/>
              </w:rPr>
            </w:pPr>
            <w:r>
              <w:rPr>
                <w:b/>
                <w:sz w:val="20"/>
              </w:rPr>
              <w:t>Стратегічна ціль І: Підвищення рівня конкурентоспроможності економіки м. Києва</w:t>
            </w:r>
          </w:p>
        </w:tc>
      </w:tr>
      <w:tr w:rsidR="00497FAB">
        <w:trPr>
          <w:trHeight w:val="229"/>
        </w:trPr>
        <w:tc>
          <w:tcPr>
            <w:tcW w:w="15877" w:type="dxa"/>
            <w:gridSpan w:val="5"/>
          </w:tcPr>
          <w:p w:rsidR="00497FAB" w:rsidRDefault="008F19A1">
            <w:pPr>
              <w:pStyle w:val="TableParagraph"/>
              <w:spacing w:line="210" w:lineRule="exact"/>
              <w:ind w:left="108"/>
              <w:rPr>
                <w:b/>
                <w:sz w:val="20"/>
              </w:rPr>
            </w:pPr>
            <w:r>
              <w:rPr>
                <w:b/>
                <w:sz w:val="20"/>
              </w:rPr>
              <w:t>1.3. Ринок праці</w:t>
            </w:r>
          </w:p>
        </w:tc>
      </w:tr>
      <w:tr w:rsidR="00497FAB">
        <w:trPr>
          <w:trHeight w:val="229"/>
        </w:trPr>
        <w:tc>
          <w:tcPr>
            <w:tcW w:w="15877" w:type="dxa"/>
            <w:gridSpan w:val="5"/>
          </w:tcPr>
          <w:p w:rsidR="00497FAB" w:rsidRDefault="008F19A1">
            <w:pPr>
              <w:pStyle w:val="TableParagraph"/>
              <w:spacing w:line="210" w:lineRule="exact"/>
              <w:ind w:left="108"/>
              <w:rPr>
                <w:sz w:val="20"/>
              </w:rPr>
            </w:pPr>
            <w:r>
              <w:rPr>
                <w:sz w:val="20"/>
              </w:rPr>
              <w:t>Оперативна ціль 1 «Підвищення рівня зайнятості мешканців міста Києва»</w:t>
            </w:r>
          </w:p>
        </w:tc>
      </w:tr>
      <w:tr w:rsidR="00497FAB">
        <w:trPr>
          <w:trHeight w:val="229"/>
        </w:trPr>
        <w:tc>
          <w:tcPr>
            <w:tcW w:w="15877" w:type="dxa"/>
            <w:gridSpan w:val="5"/>
          </w:tcPr>
          <w:p w:rsidR="00497FAB" w:rsidRDefault="008F19A1">
            <w:pPr>
              <w:pStyle w:val="TableParagraph"/>
              <w:spacing w:line="210" w:lineRule="exact"/>
              <w:ind w:left="108"/>
              <w:rPr>
                <w:sz w:val="20"/>
              </w:rPr>
            </w:pPr>
            <w:r>
              <w:rPr>
                <w:sz w:val="20"/>
              </w:rPr>
              <w:t>Завдання 1.1. Створення додаткового попиту на робочу силу</w:t>
            </w:r>
          </w:p>
        </w:tc>
      </w:tr>
      <w:tr w:rsidR="00497FAB" w:rsidTr="007D491D">
        <w:trPr>
          <w:trHeight w:val="1379"/>
        </w:trPr>
        <w:tc>
          <w:tcPr>
            <w:tcW w:w="746" w:type="dxa"/>
          </w:tcPr>
          <w:p w:rsidR="00497FAB" w:rsidRDefault="008F19A1">
            <w:pPr>
              <w:pStyle w:val="TableParagraph"/>
              <w:ind w:left="213" w:right="203"/>
              <w:jc w:val="center"/>
              <w:rPr>
                <w:sz w:val="20"/>
              </w:rPr>
            </w:pPr>
            <w:r>
              <w:rPr>
                <w:sz w:val="20"/>
              </w:rPr>
              <w:t>18</w:t>
            </w:r>
          </w:p>
        </w:tc>
        <w:tc>
          <w:tcPr>
            <w:tcW w:w="3118" w:type="dxa"/>
          </w:tcPr>
          <w:p w:rsidR="00497FAB" w:rsidRDefault="008F19A1">
            <w:pPr>
              <w:pStyle w:val="TableParagraph"/>
              <w:spacing w:line="230" w:lineRule="atLeast"/>
              <w:ind w:left="107" w:right="95"/>
              <w:jc w:val="both"/>
              <w:rPr>
                <w:sz w:val="20"/>
              </w:rPr>
            </w:pPr>
            <w:r>
              <w:rPr>
                <w:sz w:val="20"/>
              </w:rPr>
              <w:t>Підвищення попиту на ринку праці за рахунок створення нових робочих місць у перспективних секторах економіки та залучення нових роботодавців на ринок праці міста</w:t>
            </w:r>
          </w:p>
        </w:tc>
        <w:tc>
          <w:tcPr>
            <w:tcW w:w="1985" w:type="dxa"/>
          </w:tcPr>
          <w:p w:rsidR="00497FAB" w:rsidRDefault="00497FAB">
            <w:pPr>
              <w:pStyle w:val="TableParagraph"/>
              <w:rPr>
                <w:sz w:val="16"/>
              </w:rPr>
            </w:pPr>
          </w:p>
        </w:tc>
        <w:tc>
          <w:tcPr>
            <w:tcW w:w="7229" w:type="dxa"/>
          </w:tcPr>
          <w:p w:rsidR="00497FAB" w:rsidRDefault="00057269" w:rsidP="00057269">
            <w:pPr>
              <w:pStyle w:val="TableParagraph"/>
              <w:spacing w:line="230" w:lineRule="atLeast"/>
              <w:ind w:left="107" w:right="95"/>
              <w:jc w:val="both"/>
              <w:rPr>
                <w:sz w:val="16"/>
              </w:rPr>
            </w:pPr>
            <w:r>
              <w:rPr>
                <w:sz w:val="20"/>
                <w:lang w:val="ru-RU"/>
              </w:rPr>
              <w:t>З</w:t>
            </w:r>
            <w:r w:rsidRPr="00057269">
              <w:rPr>
                <w:sz w:val="20"/>
              </w:rPr>
              <w:t>а останніми наявними даними у січні-червні 2022 року в м. Києві прийнято на роботу на створені нові робочі місця 22,7 тис. осіб, зокрема у юридичних осіб – 7,5 тис. осіб, у фізичних осіб – 15,2 тис. осіб. Протягом січня-серпня 2022 року роботодавці проінформували службу зайнятості міста про наявність 22,2 тис. вакансій. За видами економічної діяльності: 17% вакансій пропонувалось у сфері освіти; 15% – в оптовій і роздрібній торгівлі, по 10% – у державному управлінні й соціальному страхуванні, у сфері адміністративного та допоміжного обслуговування, у сфері охорони здоров’я; 9% – на підприємствах переробної промисловості; 8% – на транспорті; 5% – у сфері професійної, наукової та технічної діяльності. Станом на 01.09.2022 у базі даних столичної служби зайнятості налічувалося 3,3 тис. вакансій. Середній розмір заробітної плати у вакансіях становив 9,9 тис. грн.</w:t>
            </w:r>
          </w:p>
        </w:tc>
        <w:tc>
          <w:tcPr>
            <w:tcW w:w="2799" w:type="dxa"/>
          </w:tcPr>
          <w:p w:rsidR="001017D0" w:rsidRPr="00564890" w:rsidRDefault="001017D0" w:rsidP="001017D0">
            <w:pPr>
              <w:pStyle w:val="10"/>
              <w:tabs>
                <w:tab w:val="left" w:pos="178"/>
              </w:tabs>
              <w:spacing w:after="0" w:line="240" w:lineRule="auto"/>
              <w:ind w:left="-57" w:firstLine="252"/>
              <w:jc w:val="both"/>
              <w:rPr>
                <w:rFonts w:ascii="Times New Roman" w:hAnsi="Times New Roman"/>
                <w:color w:val="000000"/>
                <w:sz w:val="20"/>
                <w:szCs w:val="20"/>
              </w:rPr>
            </w:pPr>
            <w:proofErr w:type="spellStart"/>
            <w:r w:rsidRPr="00564890">
              <w:rPr>
                <w:rFonts w:ascii="Times New Roman" w:hAnsi="Times New Roman"/>
                <w:color w:val="000000"/>
                <w:sz w:val="20"/>
                <w:szCs w:val="20"/>
              </w:rPr>
              <w:t>Виконується</w:t>
            </w:r>
            <w:proofErr w:type="spellEnd"/>
            <w:r w:rsidRPr="00564890">
              <w:rPr>
                <w:rFonts w:ascii="Times New Roman" w:hAnsi="Times New Roman"/>
                <w:color w:val="000000"/>
                <w:sz w:val="20"/>
                <w:szCs w:val="20"/>
              </w:rPr>
              <w:t>.</w:t>
            </w:r>
          </w:p>
          <w:p w:rsidR="00497FAB" w:rsidRDefault="00497FAB">
            <w:pPr>
              <w:pStyle w:val="TableParagraph"/>
              <w:rPr>
                <w:sz w:val="16"/>
              </w:rPr>
            </w:pPr>
          </w:p>
        </w:tc>
      </w:tr>
      <w:tr w:rsidR="00497FAB">
        <w:trPr>
          <w:trHeight w:val="229"/>
        </w:trPr>
        <w:tc>
          <w:tcPr>
            <w:tcW w:w="15877" w:type="dxa"/>
            <w:gridSpan w:val="5"/>
          </w:tcPr>
          <w:p w:rsidR="00497FAB" w:rsidRDefault="008F19A1">
            <w:pPr>
              <w:pStyle w:val="TableParagraph"/>
              <w:spacing w:line="210" w:lineRule="exact"/>
              <w:ind w:left="108"/>
              <w:rPr>
                <w:sz w:val="20"/>
              </w:rPr>
            </w:pPr>
            <w:r>
              <w:rPr>
                <w:sz w:val="20"/>
              </w:rPr>
              <w:t>Завдання 1.2. Підвищення кваліфікації робочої сили</w:t>
            </w:r>
          </w:p>
        </w:tc>
      </w:tr>
      <w:tr w:rsidR="00497FAB" w:rsidTr="007D491D">
        <w:trPr>
          <w:trHeight w:val="689"/>
        </w:trPr>
        <w:tc>
          <w:tcPr>
            <w:tcW w:w="746" w:type="dxa"/>
          </w:tcPr>
          <w:p w:rsidR="00497FAB" w:rsidRDefault="008F19A1">
            <w:pPr>
              <w:pStyle w:val="TableParagraph"/>
              <w:ind w:left="213" w:right="203"/>
              <w:jc w:val="center"/>
              <w:rPr>
                <w:sz w:val="20"/>
              </w:rPr>
            </w:pPr>
            <w:r>
              <w:rPr>
                <w:sz w:val="20"/>
              </w:rPr>
              <w:t>19</w:t>
            </w:r>
          </w:p>
        </w:tc>
        <w:tc>
          <w:tcPr>
            <w:tcW w:w="3118" w:type="dxa"/>
          </w:tcPr>
          <w:p w:rsidR="00497FAB" w:rsidRDefault="008F19A1">
            <w:pPr>
              <w:pStyle w:val="TableParagraph"/>
              <w:spacing w:line="230" w:lineRule="atLeast"/>
              <w:ind w:left="107" w:right="95"/>
              <w:jc w:val="both"/>
              <w:rPr>
                <w:sz w:val="20"/>
              </w:rPr>
            </w:pPr>
            <w:r>
              <w:rPr>
                <w:sz w:val="20"/>
              </w:rPr>
              <w:t>Сприяння підвищенню рівня охоплення професійним навчанням осіб з інвалідністю</w:t>
            </w:r>
          </w:p>
        </w:tc>
        <w:tc>
          <w:tcPr>
            <w:tcW w:w="1985" w:type="dxa"/>
          </w:tcPr>
          <w:p w:rsidR="00497FAB" w:rsidRDefault="00497FAB">
            <w:pPr>
              <w:pStyle w:val="TableParagraph"/>
              <w:rPr>
                <w:sz w:val="16"/>
              </w:rPr>
            </w:pPr>
          </w:p>
        </w:tc>
        <w:tc>
          <w:tcPr>
            <w:tcW w:w="7229" w:type="dxa"/>
          </w:tcPr>
          <w:p w:rsidR="00497FAB" w:rsidRDefault="00497FAB">
            <w:pPr>
              <w:pStyle w:val="TableParagraph"/>
              <w:rPr>
                <w:sz w:val="16"/>
              </w:rPr>
            </w:pPr>
          </w:p>
        </w:tc>
        <w:tc>
          <w:tcPr>
            <w:tcW w:w="2799" w:type="dxa"/>
          </w:tcPr>
          <w:p w:rsidR="00666C9E" w:rsidRPr="00564890" w:rsidRDefault="00666C9E" w:rsidP="00666C9E">
            <w:pPr>
              <w:rPr>
                <w:color w:val="000000"/>
                <w:sz w:val="20"/>
                <w:szCs w:val="20"/>
              </w:rPr>
            </w:pPr>
            <w:r w:rsidRPr="00564890">
              <w:rPr>
                <w:color w:val="000000"/>
                <w:sz w:val="20"/>
                <w:szCs w:val="20"/>
              </w:rPr>
              <w:t xml:space="preserve">Питання не відноситься до  </w:t>
            </w:r>
          </w:p>
          <w:p w:rsidR="00497FAB" w:rsidRPr="00057269" w:rsidRDefault="00666C9E" w:rsidP="00666C9E">
            <w:pPr>
              <w:pStyle w:val="TableParagraph"/>
              <w:rPr>
                <w:sz w:val="16"/>
              </w:rPr>
            </w:pPr>
            <w:r w:rsidRPr="00564890">
              <w:rPr>
                <w:color w:val="000000"/>
                <w:sz w:val="20"/>
                <w:szCs w:val="20"/>
              </w:rPr>
              <w:t>компетенції ДСП</w:t>
            </w:r>
          </w:p>
        </w:tc>
      </w:tr>
      <w:tr w:rsidR="00497FAB">
        <w:trPr>
          <w:trHeight w:val="229"/>
        </w:trPr>
        <w:tc>
          <w:tcPr>
            <w:tcW w:w="15877" w:type="dxa"/>
            <w:gridSpan w:val="5"/>
          </w:tcPr>
          <w:p w:rsidR="00497FAB" w:rsidRDefault="008F19A1">
            <w:pPr>
              <w:pStyle w:val="TableParagraph"/>
              <w:spacing w:line="210" w:lineRule="exact"/>
              <w:ind w:left="108"/>
              <w:rPr>
                <w:sz w:val="20"/>
              </w:rPr>
            </w:pPr>
            <w:r>
              <w:rPr>
                <w:sz w:val="20"/>
              </w:rPr>
              <w:t>Оперативна ціль 2 «Створення умов для зростання офіційної заробітної плати в місті Києві»</w:t>
            </w:r>
          </w:p>
        </w:tc>
      </w:tr>
      <w:tr w:rsidR="00497FAB">
        <w:trPr>
          <w:trHeight w:val="229"/>
        </w:trPr>
        <w:tc>
          <w:tcPr>
            <w:tcW w:w="15877" w:type="dxa"/>
            <w:gridSpan w:val="5"/>
          </w:tcPr>
          <w:p w:rsidR="00497FAB" w:rsidRDefault="008F19A1">
            <w:pPr>
              <w:pStyle w:val="TableParagraph"/>
              <w:spacing w:line="210" w:lineRule="exact"/>
              <w:ind w:left="108"/>
              <w:rPr>
                <w:sz w:val="20"/>
              </w:rPr>
            </w:pPr>
            <w:r>
              <w:rPr>
                <w:sz w:val="20"/>
              </w:rPr>
              <w:t>Завдання 2.1. Становлення та розвиток в столиці цивілізованого ринку праці (у т. ч. легалізація трудових відносин та виведення заробітної плати з «тіні»)</w:t>
            </w:r>
          </w:p>
        </w:tc>
      </w:tr>
      <w:tr w:rsidR="00497FAB" w:rsidTr="007D491D">
        <w:trPr>
          <w:trHeight w:val="2069"/>
        </w:trPr>
        <w:tc>
          <w:tcPr>
            <w:tcW w:w="746" w:type="dxa"/>
          </w:tcPr>
          <w:p w:rsidR="00497FAB" w:rsidRDefault="008F19A1">
            <w:pPr>
              <w:pStyle w:val="TableParagraph"/>
              <w:ind w:left="213" w:right="203"/>
              <w:jc w:val="center"/>
              <w:rPr>
                <w:sz w:val="20"/>
              </w:rPr>
            </w:pPr>
            <w:r>
              <w:rPr>
                <w:sz w:val="20"/>
              </w:rPr>
              <w:lastRenderedPageBreak/>
              <w:t>21</w:t>
            </w:r>
          </w:p>
        </w:tc>
        <w:tc>
          <w:tcPr>
            <w:tcW w:w="3118" w:type="dxa"/>
          </w:tcPr>
          <w:p w:rsidR="00497FAB" w:rsidRDefault="008F19A1">
            <w:pPr>
              <w:pStyle w:val="TableParagraph"/>
              <w:spacing w:line="230" w:lineRule="atLeast"/>
              <w:ind w:left="107" w:right="95"/>
              <w:jc w:val="both"/>
              <w:rPr>
                <w:sz w:val="20"/>
              </w:rPr>
            </w:pPr>
            <w:r>
              <w:rPr>
                <w:sz w:val="20"/>
              </w:rPr>
              <w:t xml:space="preserve">Проведення комплексу заходів у співпраці із Головним управлінням </w:t>
            </w:r>
            <w:proofErr w:type="spellStart"/>
            <w:r>
              <w:rPr>
                <w:sz w:val="20"/>
              </w:rPr>
              <w:t>Держпраці</w:t>
            </w:r>
            <w:proofErr w:type="spellEnd"/>
            <w:r>
              <w:rPr>
                <w:sz w:val="20"/>
              </w:rPr>
              <w:t xml:space="preserve"> у Київській області, залученням</w:t>
            </w:r>
            <w:r>
              <w:rPr>
                <w:spacing w:val="-12"/>
                <w:sz w:val="20"/>
              </w:rPr>
              <w:t xml:space="preserve"> </w:t>
            </w:r>
            <w:r>
              <w:rPr>
                <w:sz w:val="20"/>
              </w:rPr>
              <w:t>учасників</w:t>
            </w:r>
            <w:r>
              <w:rPr>
                <w:spacing w:val="-11"/>
                <w:sz w:val="20"/>
              </w:rPr>
              <w:t xml:space="preserve"> </w:t>
            </w:r>
            <w:r>
              <w:rPr>
                <w:sz w:val="20"/>
              </w:rPr>
              <w:t>ринку</w:t>
            </w:r>
            <w:r>
              <w:rPr>
                <w:spacing w:val="-10"/>
                <w:sz w:val="20"/>
              </w:rPr>
              <w:t xml:space="preserve"> </w:t>
            </w:r>
            <w:r>
              <w:rPr>
                <w:sz w:val="20"/>
              </w:rPr>
              <w:t>праці</w:t>
            </w:r>
            <w:r>
              <w:rPr>
                <w:spacing w:val="-11"/>
                <w:sz w:val="20"/>
              </w:rPr>
              <w:t xml:space="preserve"> </w:t>
            </w:r>
            <w:r>
              <w:rPr>
                <w:sz w:val="20"/>
              </w:rPr>
              <w:t>з питань легалізації трудових відносин та виплати заробітної плати; забезпечення своєчасної виплати заробітної плати та погашення заборгованості з</w:t>
            </w:r>
            <w:r>
              <w:rPr>
                <w:spacing w:val="-5"/>
                <w:sz w:val="20"/>
              </w:rPr>
              <w:t xml:space="preserve"> </w:t>
            </w:r>
            <w:r>
              <w:rPr>
                <w:sz w:val="20"/>
              </w:rPr>
              <w:t>неї</w:t>
            </w:r>
          </w:p>
        </w:tc>
        <w:tc>
          <w:tcPr>
            <w:tcW w:w="1985" w:type="dxa"/>
          </w:tcPr>
          <w:p w:rsidR="00497FAB" w:rsidRDefault="00497FAB">
            <w:pPr>
              <w:pStyle w:val="TableParagraph"/>
              <w:rPr>
                <w:sz w:val="16"/>
              </w:rPr>
            </w:pPr>
          </w:p>
        </w:tc>
        <w:tc>
          <w:tcPr>
            <w:tcW w:w="7229" w:type="dxa"/>
          </w:tcPr>
          <w:p w:rsidR="00057269" w:rsidRPr="00057269" w:rsidRDefault="00057269" w:rsidP="00057269">
            <w:pPr>
              <w:pStyle w:val="TableParagraph"/>
              <w:spacing w:line="230" w:lineRule="atLeast"/>
              <w:ind w:left="107" w:right="95"/>
              <w:jc w:val="both"/>
              <w:rPr>
                <w:sz w:val="20"/>
              </w:rPr>
            </w:pPr>
            <w:r w:rsidRPr="00057269">
              <w:rPr>
                <w:sz w:val="20"/>
              </w:rPr>
              <w:t xml:space="preserve">За результатами розгляду звернень громадян інформація щодо фактів виплати неофіційної заробітної плати або не належного оформлення трудових відносин, направляється до міських підрозділів Державної служби України з питань праці в порядку інформування та відповідного реагування. За інформацією Головного управління </w:t>
            </w:r>
            <w:proofErr w:type="spellStart"/>
            <w:r w:rsidRPr="00057269">
              <w:rPr>
                <w:sz w:val="20"/>
              </w:rPr>
              <w:t>Держпраці</w:t>
            </w:r>
            <w:proofErr w:type="spellEnd"/>
            <w:r w:rsidRPr="00057269">
              <w:rPr>
                <w:sz w:val="20"/>
              </w:rPr>
              <w:t xml:space="preserve"> у Київській області 09.06.2022 відбулося чергове засідання Міжвідомчої робочої групи з питань розробки узгодження спільних дій щодо зменшення рівня незадекларованої праці, попередження виробничого травматизму та професійних захворювань.</w:t>
            </w:r>
          </w:p>
          <w:p w:rsidR="00497FAB" w:rsidRDefault="00057269" w:rsidP="00666C9E">
            <w:pPr>
              <w:pStyle w:val="TableParagraph"/>
              <w:spacing w:line="230" w:lineRule="atLeast"/>
              <w:ind w:left="107" w:right="95"/>
              <w:jc w:val="both"/>
              <w:rPr>
                <w:sz w:val="16"/>
              </w:rPr>
            </w:pPr>
            <w:r w:rsidRPr="00057269">
              <w:rPr>
                <w:sz w:val="20"/>
              </w:rPr>
              <w:t xml:space="preserve">Під час заходу обговорені основні напрями організації роботи </w:t>
            </w:r>
            <w:proofErr w:type="spellStart"/>
            <w:r w:rsidRPr="00057269">
              <w:rPr>
                <w:sz w:val="20"/>
              </w:rPr>
              <w:t>Держпраці</w:t>
            </w:r>
            <w:proofErr w:type="spellEnd"/>
            <w:r w:rsidRPr="00057269">
              <w:rPr>
                <w:sz w:val="20"/>
              </w:rPr>
              <w:t xml:space="preserve"> та дотичних органів і соціальних партнерів у сфері незадекларованої праці. Проводиться інформаційно-роз’яснювальна робота серед суб’єктів господарювання – роботодавців та населення щодо негативних економічних та соціальних наслідків нелегальних трудових відносин та виплати заробітної плати в «конвертах», дотримання трудового законодавства. Так, з 01 липня 2022 року </w:t>
            </w:r>
            <w:proofErr w:type="spellStart"/>
            <w:r w:rsidRPr="00057269">
              <w:rPr>
                <w:sz w:val="20"/>
              </w:rPr>
              <w:t>Держпраці</w:t>
            </w:r>
            <w:proofErr w:type="spellEnd"/>
            <w:r w:rsidRPr="00057269">
              <w:rPr>
                <w:sz w:val="20"/>
              </w:rPr>
              <w:t xml:space="preserve"> розпочала інформаційну кампанію «Виходь на світло!». Це черговий крок до формування у суспільства розуміння важливості оформлення трудових відносин. Кампанія спрямовується на працівників і роботодавців, які продовжують працювати, але при цьому уникають належного оформлення трудових відносин та сплати податків. Кампанія реалізується за підтримки проекту ЄС-МОП «На шляху до безпечної, здорової та задекларованої праці». На виконання доручення Київського міського голови В. Кличка до листа Головного управління </w:t>
            </w:r>
            <w:proofErr w:type="spellStart"/>
            <w:r w:rsidRPr="00057269">
              <w:rPr>
                <w:sz w:val="20"/>
              </w:rPr>
              <w:t>Держпраці</w:t>
            </w:r>
            <w:proofErr w:type="spellEnd"/>
            <w:r w:rsidRPr="00057269">
              <w:rPr>
                <w:sz w:val="20"/>
              </w:rPr>
              <w:t xml:space="preserve"> у Київській області від 21.06.2022 № КВ/2/2863-22 керівниками структурних підрозділів виконавчого органу Київської міської ради (Київської міської державної адміністрації) та головами районних в місті Києві державних адміністрацій проводиться відповідна робота щодо координації організації проведення зустрічей з представниками Головного управління </w:t>
            </w:r>
            <w:proofErr w:type="spellStart"/>
            <w:r w:rsidRPr="00057269">
              <w:rPr>
                <w:sz w:val="20"/>
              </w:rPr>
              <w:t>Держпраці</w:t>
            </w:r>
            <w:proofErr w:type="spellEnd"/>
            <w:r w:rsidRPr="00057269">
              <w:rPr>
                <w:sz w:val="20"/>
              </w:rPr>
              <w:t xml:space="preserve"> у Київській області та підприємств, установ та організацій міста. Так, за сприянням Департаменту соціальної політики виконавчого органу Київської міської ради (Київської міської державної адміністрації), Головним управлінням </w:t>
            </w:r>
            <w:proofErr w:type="spellStart"/>
            <w:r w:rsidRPr="00057269">
              <w:rPr>
                <w:sz w:val="20"/>
              </w:rPr>
              <w:t>Держпраці</w:t>
            </w:r>
            <w:proofErr w:type="spellEnd"/>
            <w:r w:rsidRPr="00057269">
              <w:rPr>
                <w:sz w:val="20"/>
              </w:rPr>
              <w:t xml:space="preserve"> у Київській області 14.07.2022 організовано та проведено нараду - семінар щодо змін у трудовому законодавстві на період воєнного часу для 37 представників закладів соціального захисту населення міста Києва, які відповідають за кадрову роботу та охорону праці. Посадові особи </w:t>
            </w:r>
            <w:proofErr w:type="spellStart"/>
            <w:r w:rsidRPr="00057269">
              <w:rPr>
                <w:sz w:val="20"/>
              </w:rPr>
              <w:t>Держпраці</w:t>
            </w:r>
            <w:proofErr w:type="spellEnd"/>
            <w:r w:rsidRPr="00057269">
              <w:rPr>
                <w:sz w:val="20"/>
              </w:rPr>
              <w:t xml:space="preserve"> розповіли присутнім про особливості трудових відносин в умовах воєнного стану, зокрема відмінності між простоєм і призупиненням діяльності. Окрім цього обговорили питання, пов’язані із звільненням і прийому на роботу, якщо працівник перебуває за кордоном; наданням відпусток; проходженням первинного і чергового медоглядів, наданням пільг і компенсацій в шкідливих умовах праці, про результати атестації робочих місць; отримання дозвільних </w:t>
            </w:r>
            <w:r w:rsidRPr="00057269">
              <w:rPr>
                <w:sz w:val="20"/>
              </w:rPr>
              <w:lastRenderedPageBreak/>
              <w:t>документів; профілактику виробничого травматизму тощо. Захід було організовано у форматі «запитання-відповідь» . Тому всі охочі мали нагоду отримати відповіді на актуальні питання, пов’язані з законодавством про працю, охорону праці. Присутнім також розповіли про масштабну інформаційну кампанію «Виходь на світло», спрямовану на подолання незадекларованої праці. Зокрема акцентували увагу учасників на перевагах офіційного працевлаштування. Інформація щодо економічних та соціальних переваг отримання легальних</w:t>
            </w:r>
            <w:r w:rsidR="00666C9E">
              <w:rPr>
                <w:sz w:val="20"/>
              </w:rPr>
              <w:t xml:space="preserve"> </w:t>
            </w:r>
            <w:r w:rsidRPr="00057269">
              <w:rPr>
                <w:sz w:val="20"/>
              </w:rPr>
              <w:t xml:space="preserve">доходів та оформлення належним чином трудових відносин, забезпечення участі в системі загальнообов’язкового державного соціального страхування, постійно висвітлюється на Єдиному веб-порталі територіальної громади міста Києва (https://kyivcity.gov.ua/pilhy_dovidky_ta_sotsialnyi_zakhyst/oplata_pratsi_ta_zaynyatist/podolannya_nezadeklarovano_pratsi/ та на сайті Департаменту соціальної політики виконавчого органу Київської міської ради (Київської міської державної адміністрації) https://dsp.kyivcity.gov.ua/content/rozyasnennya-z-aktualnyh-pytan.html. За інформацією Департаменту суспільних комунікацій, </w:t>
            </w:r>
            <w:proofErr w:type="spellStart"/>
            <w:r w:rsidRPr="00057269">
              <w:rPr>
                <w:sz w:val="20"/>
              </w:rPr>
              <w:t>відеоролік</w:t>
            </w:r>
            <w:proofErr w:type="spellEnd"/>
            <w:r w:rsidRPr="00057269">
              <w:rPr>
                <w:sz w:val="20"/>
              </w:rPr>
              <w:t xml:space="preserve"> «Незадекларована праця не захищає ваші трудові та соціальні права!» оприлюднено на Офіційному порталі Києва у розділі «Сервіси» – «Пільги, субсидії та соціальний захист» – «Незадекларована праця не захищає ваші трудові та соціальні права!» (https://kyivcity.gov.ua/pilhy_dovidky_ta_sotsialnyi_zakhyst/nezadeklarovana_pratsya_ne_zakhischaye_vashi_trudovi_ta_sotsialni_prava/ ). Тематична інформація публікується на </w:t>
            </w:r>
            <w:proofErr w:type="spellStart"/>
            <w:r w:rsidRPr="00057269">
              <w:rPr>
                <w:sz w:val="20"/>
              </w:rPr>
              <w:t>вебпорталі</w:t>
            </w:r>
            <w:proofErr w:type="spellEnd"/>
            <w:r w:rsidRPr="00057269">
              <w:rPr>
                <w:sz w:val="20"/>
              </w:rPr>
              <w:t xml:space="preserve"> «Вечірній Київ» під тегом «#</w:t>
            </w:r>
            <w:proofErr w:type="spellStart"/>
            <w:r w:rsidRPr="00057269">
              <w:rPr>
                <w:sz w:val="20"/>
              </w:rPr>
              <w:t>Держпраці</w:t>
            </w:r>
            <w:proofErr w:type="spellEnd"/>
            <w:r w:rsidRPr="00057269">
              <w:rPr>
                <w:sz w:val="20"/>
              </w:rPr>
              <w:t xml:space="preserve">» (https://vechirniy.kyiv.ua/tag/666/ ), наприклад, «Кияни скаржаться на порушення трудових прав» (https://vechirniy.kyiv.ua/news/68070/). Такий же матеріал розміщено на об’єднаному </w:t>
            </w:r>
            <w:proofErr w:type="spellStart"/>
            <w:r w:rsidRPr="00057269">
              <w:rPr>
                <w:sz w:val="20"/>
              </w:rPr>
              <w:t>вебпорталі</w:t>
            </w:r>
            <w:proofErr w:type="spellEnd"/>
            <w:r w:rsidRPr="00057269">
              <w:rPr>
                <w:sz w:val="20"/>
              </w:rPr>
              <w:t xml:space="preserve"> комунального підприємства Київської міської ради «Телекомпанія «Київ» і комунального підприємства «Радіостанція «Голос Києва» «КИЇВ.МЕДІА» (https://24.kyiv.media/news/kyyany-skarzhatsya-na-porushennya-trudovyh-prav). За інформацією Головного управління Державної податкової служби у м. Києві за рахунок проведеної індивідуальної роз’яснювальної роботи протягом 2022 року підвищили рівень заробітної плати понад 1,5 тис. суб’єктів господарювання (додатково надійшло до бюджету 12,1 млн грн податку на доходи фізичних осіб). На виконання доручень Міністерства економіки України (лист від 03.08.2022 № 4708-06/55069-03) та Державної служби України з питань праці (лист від 12.08.2022 № 3058/1/4.7-22а) з липня 2022 року відновлено проведення моніторингу щодо стану погашення заборгованості із виплати заробітної плати на підприємствах, установах та організаціях м. Києва. За попередніми адміністративними статистичними даними на 01.09.2022 (згідно поданих до органів статистики звітів за формою № 3-борг </w:t>
            </w:r>
            <w:r w:rsidRPr="00057269">
              <w:rPr>
                <w:sz w:val="20"/>
              </w:rPr>
              <w:lastRenderedPageBreak/>
              <w:t>(місячна) «Звіт про заборгованість з оплати праці» на 21.09.2022) борг із виплати заробітної плати по місту склав 348,0 млн грн, що на 6,6% або на 24,7 млн грн менше у порівнянні до попереднього місяця. Відновлюється діяльність міської та районних в місті Києві тимчасових комісій з питань погашення заборгованості із заробітної плати (грошового забезпечення), пенсій, стипендій та інших соціальних виплат, на яких розглядаються питання стану погашення заборгованості із заробітної плати на</w:t>
            </w:r>
            <w:r>
              <w:rPr>
                <w:sz w:val="20"/>
              </w:rPr>
              <w:t xml:space="preserve"> </w:t>
            </w:r>
            <w:r w:rsidRPr="00057269">
              <w:rPr>
                <w:sz w:val="20"/>
              </w:rPr>
              <w:t xml:space="preserve">підприємствах міста. Протягом січня-серпня 2022 року проведено 11 засідань таких комісій, на яких заслухано 51 керівника підприємств-боржників із виплати заробітної плати, зі сплати єдиного соціального внеску та платежів до Пенсійного фонду України, в тому числі 50 боржники із виплати заробітної плати, всіх їх </w:t>
            </w:r>
            <w:proofErr w:type="spellStart"/>
            <w:r w:rsidRPr="00057269">
              <w:rPr>
                <w:sz w:val="20"/>
              </w:rPr>
              <w:t>попереджено</w:t>
            </w:r>
            <w:proofErr w:type="spellEnd"/>
            <w:r w:rsidRPr="00057269">
              <w:rPr>
                <w:sz w:val="20"/>
              </w:rPr>
              <w:t xml:space="preserve"> про відповідальність за порушення законодавства про працю та оплату праці. Слід відмітити, що залишається чинною постанова Кабінету Міністрів України від 13.03.2022 № 303 «Про припинення заходів державного нагляду (контролю) і державного ринкового нагляду в умовах воєнного стану» (далі – постанова № 303). Відповідно до пункту 1 постанови № 303 Урядом прийнято рішення припинити проведення планових та позапланових заходів державного нагляду (контролю) і державного ринкового нагляду на період воєнного стану, введеного Указом Президента України від 24.02.2022 № 64/2022 «Про введення воєнного стану в Україні». Враховуючи викладене, заходи державного контролю з питань додержання законодавства про працю будуть здійснюватися </w:t>
            </w:r>
            <w:proofErr w:type="spellStart"/>
            <w:r w:rsidRPr="00057269">
              <w:rPr>
                <w:sz w:val="20"/>
              </w:rPr>
              <w:t>Держпраці</w:t>
            </w:r>
            <w:proofErr w:type="spellEnd"/>
            <w:r w:rsidRPr="00057269">
              <w:rPr>
                <w:sz w:val="20"/>
              </w:rPr>
              <w:t xml:space="preserve"> та її територіальними органами після врегулювання питання щодо можливості проведення таких заходів, з урахуванням вимог, встановлених постановою № 303. Згідно оперативних даних, протягом серпня 2022 року (на 01.09.2022), серед підприємств, які значились у переліку боржників за даними органів статистики на 01.08.2022 (попередні дані), в повному обсязі погасили борги із заробітної плати 37 підприємств на загальну суму понад 14,0 млн грн (за липень 2022 року та попередні періоди).</w:t>
            </w:r>
            <w:r w:rsidR="00666C9E">
              <w:rPr>
                <w:sz w:val="16"/>
              </w:rPr>
              <w:t xml:space="preserve"> </w:t>
            </w:r>
          </w:p>
        </w:tc>
        <w:tc>
          <w:tcPr>
            <w:tcW w:w="2799" w:type="dxa"/>
          </w:tcPr>
          <w:p w:rsidR="001017D0" w:rsidRPr="00564890" w:rsidRDefault="001017D0" w:rsidP="001017D0">
            <w:pPr>
              <w:pStyle w:val="10"/>
              <w:tabs>
                <w:tab w:val="left" w:pos="178"/>
              </w:tabs>
              <w:spacing w:after="0" w:line="240" w:lineRule="auto"/>
              <w:ind w:left="-57" w:firstLine="252"/>
              <w:jc w:val="both"/>
              <w:rPr>
                <w:rFonts w:ascii="Times New Roman" w:hAnsi="Times New Roman"/>
                <w:color w:val="000000"/>
                <w:sz w:val="20"/>
                <w:szCs w:val="20"/>
              </w:rPr>
            </w:pPr>
            <w:proofErr w:type="spellStart"/>
            <w:r w:rsidRPr="00564890">
              <w:rPr>
                <w:rFonts w:ascii="Times New Roman" w:hAnsi="Times New Roman"/>
                <w:color w:val="000000"/>
                <w:sz w:val="20"/>
                <w:szCs w:val="20"/>
              </w:rPr>
              <w:lastRenderedPageBreak/>
              <w:t>Виконується</w:t>
            </w:r>
            <w:proofErr w:type="spellEnd"/>
            <w:r w:rsidRPr="00564890">
              <w:rPr>
                <w:rFonts w:ascii="Times New Roman" w:hAnsi="Times New Roman"/>
                <w:color w:val="000000"/>
                <w:sz w:val="20"/>
                <w:szCs w:val="20"/>
              </w:rPr>
              <w:t>.</w:t>
            </w:r>
          </w:p>
          <w:p w:rsidR="00497FAB" w:rsidRDefault="00497FAB">
            <w:pPr>
              <w:pStyle w:val="TableParagraph"/>
              <w:rPr>
                <w:sz w:val="16"/>
              </w:rPr>
            </w:pPr>
          </w:p>
        </w:tc>
      </w:tr>
      <w:tr w:rsidR="00497FAB">
        <w:trPr>
          <w:trHeight w:val="229"/>
        </w:trPr>
        <w:tc>
          <w:tcPr>
            <w:tcW w:w="15877" w:type="dxa"/>
            <w:gridSpan w:val="5"/>
          </w:tcPr>
          <w:p w:rsidR="00497FAB" w:rsidRDefault="008F19A1">
            <w:pPr>
              <w:pStyle w:val="TableParagraph"/>
              <w:spacing w:line="210" w:lineRule="exact"/>
              <w:ind w:left="108"/>
              <w:rPr>
                <w:b/>
                <w:sz w:val="20"/>
              </w:rPr>
            </w:pPr>
            <w:r>
              <w:rPr>
                <w:b/>
                <w:sz w:val="20"/>
              </w:rPr>
              <w:lastRenderedPageBreak/>
              <w:t>Стратегічна ціль ІІ: Підвищення комфорту життя мешканців м. Києва</w:t>
            </w:r>
          </w:p>
        </w:tc>
      </w:tr>
      <w:tr w:rsidR="00497FAB">
        <w:trPr>
          <w:trHeight w:val="229"/>
        </w:trPr>
        <w:tc>
          <w:tcPr>
            <w:tcW w:w="15877" w:type="dxa"/>
            <w:gridSpan w:val="5"/>
          </w:tcPr>
          <w:p w:rsidR="00497FAB" w:rsidRDefault="008F19A1">
            <w:pPr>
              <w:pStyle w:val="TableParagraph"/>
              <w:spacing w:line="210" w:lineRule="exact"/>
              <w:ind w:left="108"/>
              <w:rPr>
                <w:b/>
                <w:sz w:val="20"/>
              </w:rPr>
            </w:pPr>
            <w:r>
              <w:rPr>
                <w:b/>
                <w:sz w:val="20"/>
              </w:rPr>
              <w:t>2.3. Соціальна підтримка та допомога</w:t>
            </w:r>
          </w:p>
        </w:tc>
      </w:tr>
      <w:tr w:rsidR="00497FAB">
        <w:trPr>
          <w:trHeight w:val="229"/>
        </w:trPr>
        <w:tc>
          <w:tcPr>
            <w:tcW w:w="15877" w:type="dxa"/>
            <w:gridSpan w:val="5"/>
          </w:tcPr>
          <w:p w:rsidR="00497FAB" w:rsidRDefault="008F19A1">
            <w:pPr>
              <w:pStyle w:val="TableParagraph"/>
              <w:spacing w:line="210" w:lineRule="exact"/>
              <w:ind w:left="108"/>
              <w:rPr>
                <w:sz w:val="20"/>
              </w:rPr>
            </w:pPr>
            <w:r>
              <w:rPr>
                <w:sz w:val="20"/>
              </w:rPr>
              <w:t>Оперативна ціль 1«Підвищення соціальної захищеності мешканців»</w:t>
            </w:r>
          </w:p>
        </w:tc>
      </w:tr>
    </w:tbl>
    <w:p w:rsidR="00497FAB" w:rsidRDefault="00497FAB">
      <w:pPr>
        <w:spacing w:before="1"/>
        <w:rPr>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3257"/>
        <w:gridCol w:w="1926"/>
        <w:gridCol w:w="7229"/>
        <w:gridCol w:w="2835"/>
      </w:tblGrid>
      <w:tr w:rsidR="00497FAB" w:rsidTr="008D55AF">
        <w:trPr>
          <w:trHeight w:val="229"/>
        </w:trPr>
        <w:tc>
          <w:tcPr>
            <w:tcW w:w="666" w:type="dxa"/>
          </w:tcPr>
          <w:p w:rsidR="00497FAB" w:rsidRDefault="008F19A1">
            <w:pPr>
              <w:pStyle w:val="TableParagraph"/>
              <w:spacing w:line="210" w:lineRule="exact"/>
              <w:ind w:left="283"/>
              <w:rPr>
                <w:sz w:val="20"/>
              </w:rPr>
            </w:pPr>
            <w:r>
              <w:rPr>
                <w:sz w:val="20"/>
              </w:rPr>
              <w:t>1</w:t>
            </w:r>
          </w:p>
        </w:tc>
        <w:tc>
          <w:tcPr>
            <w:tcW w:w="3257" w:type="dxa"/>
          </w:tcPr>
          <w:p w:rsidR="00497FAB" w:rsidRDefault="008F19A1">
            <w:pPr>
              <w:pStyle w:val="TableParagraph"/>
              <w:spacing w:line="210" w:lineRule="exact"/>
              <w:ind w:left="10"/>
              <w:jc w:val="center"/>
              <w:rPr>
                <w:sz w:val="20"/>
              </w:rPr>
            </w:pPr>
            <w:r>
              <w:rPr>
                <w:sz w:val="20"/>
              </w:rPr>
              <w:t>2</w:t>
            </w:r>
          </w:p>
        </w:tc>
        <w:tc>
          <w:tcPr>
            <w:tcW w:w="1926" w:type="dxa"/>
          </w:tcPr>
          <w:p w:rsidR="00497FAB" w:rsidRDefault="008F19A1">
            <w:pPr>
              <w:pStyle w:val="TableParagraph"/>
              <w:spacing w:line="210" w:lineRule="exact"/>
              <w:ind w:left="9"/>
              <w:jc w:val="center"/>
              <w:rPr>
                <w:sz w:val="20"/>
              </w:rPr>
            </w:pPr>
            <w:r>
              <w:rPr>
                <w:sz w:val="20"/>
              </w:rPr>
              <w:t>3</w:t>
            </w:r>
          </w:p>
        </w:tc>
        <w:tc>
          <w:tcPr>
            <w:tcW w:w="7229" w:type="dxa"/>
          </w:tcPr>
          <w:p w:rsidR="00497FAB" w:rsidRDefault="008F19A1">
            <w:pPr>
              <w:pStyle w:val="TableParagraph"/>
              <w:spacing w:line="210" w:lineRule="exact"/>
              <w:ind w:left="10"/>
              <w:jc w:val="center"/>
              <w:rPr>
                <w:sz w:val="20"/>
              </w:rPr>
            </w:pPr>
            <w:r>
              <w:rPr>
                <w:sz w:val="20"/>
              </w:rPr>
              <w:t>4</w:t>
            </w:r>
          </w:p>
        </w:tc>
        <w:tc>
          <w:tcPr>
            <w:tcW w:w="2835" w:type="dxa"/>
          </w:tcPr>
          <w:p w:rsidR="00497FAB" w:rsidRDefault="008F19A1">
            <w:pPr>
              <w:pStyle w:val="TableParagraph"/>
              <w:spacing w:line="210" w:lineRule="exact"/>
              <w:ind w:left="9"/>
              <w:jc w:val="center"/>
              <w:rPr>
                <w:sz w:val="20"/>
              </w:rPr>
            </w:pPr>
            <w:r>
              <w:rPr>
                <w:sz w:val="20"/>
              </w:rPr>
              <w:t>5</w:t>
            </w:r>
          </w:p>
        </w:tc>
      </w:tr>
      <w:tr w:rsidR="00497FAB" w:rsidTr="007D491D">
        <w:trPr>
          <w:trHeight w:val="229"/>
        </w:trPr>
        <w:tc>
          <w:tcPr>
            <w:tcW w:w="15913" w:type="dxa"/>
            <w:gridSpan w:val="5"/>
          </w:tcPr>
          <w:p w:rsidR="00497FAB" w:rsidRDefault="008F19A1">
            <w:pPr>
              <w:pStyle w:val="TableParagraph"/>
              <w:spacing w:line="210" w:lineRule="exact"/>
              <w:ind w:left="108"/>
              <w:rPr>
                <w:sz w:val="20"/>
              </w:rPr>
            </w:pPr>
            <w:r>
              <w:rPr>
                <w:sz w:val="20"/>
              </w:rPr>
              <w:t>Завдання 1.1. Підвищення забезпеченості соціальною інфраструктурою</w:t>
            </w:r>
          </w:p>
        </w:tc>
      </w:tr>
      <w:tr w:rsidR="00497FAB" w:rsidTr="008D55AF">
        <w:trPr>
          <w:trHeight w:val="1609"/>
        </w:trPr>
        <w:tc>
          <w:tcPr>
            <w:tcW w:w="666" w:type="dxa"/>
          </w:tcPr>
          <w:p w:rsidR="00497FAB" w:rsidRDefault="008F19A1">
            <w:pPr>
              <w:pStyle w:val="TableParagraph"/>
              <w:ind w:left="233"/>
              <w:rPr>
                <w:sz w:val="20"/>
              </w:rPr>
            </w:pPr>
            <w:r>
              <w:rPr>
                <w:sz w:val="20"/>
              </w:rPr>
              <w:lastRenderedPageBreak/>
              <w:t>69</w:t>
            </w:r>
          </w:p>
        </w:tc>
        <w:tc>
          <w:tcPr>
            <w:tcW w:w="3257" w:type="dxa"/>
          </w:tcPr>
          <w:p w:rsidR="00497FAB" w:rsidRDefault="008F19A1">
            <w:pPr>
              <w:pStyle w:val="TableParagraph"/>
              <w:spacing w:line="230" w:lineRule="atLeast"/>
              <w:ind w:left="107" w:right="95"/>
              <w:jc w:val="both"/>
              <w:rPr>
                <w:sz w:val="20"/>
              </w:rPr>
            </w:pPr>
            <w:r>
              <w:rPr>
                <w:sz w:val="20"/>
              </w:rPr>
              <w:t>Розвиток системи надання соціальних та реабілітаційних послуг,</w:t>
            </w:r>
            <w:r>
              <w:rPr>
                <w:spacing w:val="-14"/>
                <w:sz w:val="20"/>
              </w:rPr>
              <w:t xml:space="preserve"> </w:t>
            </w:r>
            <w:r>
              <w:rPr>
                <w:sz w:val="20"/>
              </w:rPr>
              <w:t>у</w:t>
            </w:r>
            <w:r>
              <w:rPr>
                <w:spacing w:val="-12"/>
                <w:sz w:val="20"/>
              </w:rPr>
              <w:t xml:space="preserve"> </w:t>
            </w:r>
            <w:r>
              <w:rPr>
                <w:sz w:val="20"/>
              </w:rPr>
              <w:t>тому</w:t>
            </w:r>
            <w:r>
              <w:rPr>
                <w:spacing w:val="-13"/>
                <w:sz w:val="20"/>
              </w:rPr>
              <w:t xml:space="preserve"> </w:t>
            </w:r>
            <w:r>
              <w:rPr>
                <w:sz w:val="20"/>
              </w:rPr>
              <w:t>числі,</w:t>
            </w:r>
            <w:r>
              <w:rPr>
                <w:spacing w:val="-12"/>
                <w:sz w:val="20"/>
              </w:rPr>
              <w:t xml:space="preserve"> </w:t>
            </w:r>
            <w:r>
              <w:rPr>
                <w:sz w:val="20"/>
              </w:rPr>
              <w:t>особам</w:t>
            </w:r>
            <w:r>
              <w:rPr>
                <w:spacing w:val="-13"/>
                <w:sz w:val="20"/>
              </w:rPr>
              <w:t xml:space="preserve"> </w:t>
            </w:r>
            <w:r>
              <w:rPr>
                <w:sz w:val="20"/>
              </w:rPr>
              <w:t xml:space="preserve">(дітям) з інвалідністю, зокрема, </w:t>
            </w:r>
            <w:r>
              <w:rPr>
                <w:spacing w:val="-3"/>
                <w:sz w:val="20"/>
              </w:rPr>
              <w:t xml:space="preserve">шляхом </w:t>
            </w:r>
            <w:r>
              <w:rPr>
                <w:sz w:val="20"/>
              </w:rPr>
              <w:t xml:space="preserve">розширення мережі </w:t>
            </w:r>
            <w:r>
              <w:rPr>
                <w:spacing w:val="-3"/>
                <w:sz w:val="20"/>
              </w:rPr>
              <w:t xml:space="preserve">установ </w:t>
            </w:r>
            <w:r>
              <w:rPr>
                <w:sz w:val="20"/>
              </w:rPr>
              <w:t>(відділень) та здійснення соціального замовлення</w:t>
            </w:r>
          </w:p>
        </w:tc>
        <w:tc>
          <w:tcPr>
            <w:tcW w:w="1926" w:type="dxa"/>
          </w:tcPr>
          <w:p w:rsidR="00497FAB" w:rsidRDefault="00497FAB">
            <w:pPr>
              <w:pStyle w:val="TableParagraph"/>
              <w:rPr>
                <w:sz w:val="16"/>
              </w:rPr>
            </w:pPr>
          </w:p>
        </w:tc>
        <w:tc>
          <w:tcPr>
            <w:tcW w:w="7229" w:type="dxa"/>
          </w:tcPr>
          <w:p w:rsidR="009424A4" w:rsidRPr="0044044F" w:rsidRDefault="009424A4" w:rsidP="009424A4">
            <w:pPr>
              <w:jc w:val="both"/>
              <w:rPr>
                <w:sz w:val="20"/>
                <w:szCs w:val="20"/>
              </w:rPr>
            </w:pPr>
            <w:r w:rsidRPr="0044044F">
              <w:rPr>
                <w:sz w:val="20"/>
                <w:szCs w:val="20"/>
              </w:rPr>
              <w:t>Заходами міської цільової програми «Турбота. Назустріч киянам» на 2022 - 2024 роки, затвердженої рішенням Київської міської ради від 07.10.2021 № 2726/2726 у 2022 році передбачено розширення спектру та кількості отримувачів соціальних послуг.</w:t>
            </w:r>
          </w:p>
          <w:p w:rsidR="009424A4" w:rsidRPr="0044044F" w:rsidRDefault="009424A4" w:rsidP="009424A4">
            <w:pPr>
              <w:jc w:val="both"/>
              <w:rPr>
                <w:sz w:val="20"/>
                <w:szCs w:val="20"/>
              </w:rPr>
            </w:pPr>
            <w:r w:rsidRPr="0044044F">
              <w:rPr>
                <w:sz w:val="20"/>
                <w:szCs w:val="20"/>
              </w:rPr>
              <w:t>Департаментом соціальної політики підписано договори щодо закупівлі наступних додаткових соціальних послуг у 2022 році:</w:t>
            </w:r>
          </w:p>
          <w:p w:rsidR="009424A4" w:rsidRPr="0044044F" w:rsidRDefault="009424A4" w:rsidP="009424A4">
            <w:pPr>
              <w:jc w:val="both"/>
              <w:rPr>
                <w:sz w:val="20"/>
                <w:szCs w:val="20"/>
              </w:rPr>
            </w:pPr>
            <w:r w:rsidRPr="0044044F">
              <w:rPr>
                <w:sz w:val="20"/>
                <w:szCs w:val="20"/>
              </w:rPr>
              <w:t>1. Надання соціальної послуги для дітей з інвалідністю підгрупи А, які частково або повністю втратили/не набули здатності до самообслуговування (80 осіб) – Соціальна послуга «Догляд вдома».</w:t>
            </w:r>
          </w:p>
          <w:p w:rsidR="009424A4" w:rsidRPr="0044044F" w:rsidRDefault="009424A4" w:rsidP="009424A4">
            <w:pPr>
              <w:jc w:val="both"/>
              <w:rPr>
                <w:sz w:val="20"/>
                <w:szCs w:val="20"/>
              </w:rPr>
            </w:pPr>
            <w:r w:rsidRPr="0044044F">
              <w:rPr>
                <w:sz w:val="20"/>
                <w:szCs w:val="20"/>
              </w:rPr>
              <w:t>2. Надання соціальної послуги для дітей зі складними порушеннями розвитку (20 осіб) – Соціальна послуга «Денний догляд».</w:t>
            </w:r>
          </w:p>
          <w:p w:rsidR="009424A4" w:rsidRPr="0044044F" w:rsidRDefault="009424A4" w:rsidP="009424A4">
            <w:pPr>
              <w:jc w:val="both"/>
              <w:rPr>
                <w:sz w:val="20"/>
                <w:szCs w:val="20"/>
              </w:rPr>
            </w:pPr>
            <w:r w:rsidRPr="0044044F">
              <w:rPr>
                <w:sz w:val="20"/>
                <w:szCs w:val="20"/>
              </w:rPr>
              <w:t>3. Надання соціальної послуги реабілітації осіб з інтелектуальними та психічними порушеннями (56 осіб) – Соціальна послуга «Соціальна реабілітації осіб з інтелектуальними та психічними порушеннями».</w:t>
            </w:r>
          </w:p>
          <w:p w:rsidR="009424A4" w:rsidRPr="0044044F" w:rsidRDefault="009424A4" w:rsidP="009424A4">
            <w:pPr>
              <w:jc w:val="both"/>
              <w:rPr>
                <w:sz w:val="20"/>
                <w:szCs w:val="20"/>
              </w:rPr>
            </w:pPr>
            <w:r w:rsidRPr="0044044F">
              <w:rPr>
                <w:sz w:val="20"/>
                <w:szCs w:val="20"/>
              </w:rPr>
              <w:t>4. Надання соціальної послуги для осіб з психічними розладами (250 осіб) – Соціальна послуга «Догляд стаціонарний».</w:t>
            </w:r>
          </w:p>
          <w:p w:rsidR="009424A4" w:rsidRPr="0044044F" w:rsidRDefault="009424A4" w:rsidP="009424A4">
            <w:pPr>
              <w:jc w:val="both"/>
              <w:rPr>
                <w:sz w:val="20"/>
                <w:szCs w:val="20"/>
              </w:rPr>
            </w:pPr>
            <w:r w:rsidRPr="0044044F">
              <w:rPr>
                <w:sz w:val="20"/>
                <w:szCs w:val="20"/>
              </w:rPr>
              <w:t>5. Надання соціальної послуги соціальної адаптації для дітей з інвалідністю, що частково втратили здатність до самообслуговування (44 особи) – Соціальна послуга «Соціальна адаптація».</w:t>
            </w:r>
          </w:p>
          <w:p w:rsidR="009424A4" w:rsidRPr="0044044F" w:rsidRDefault="009424A4" w:rsidP="009424A4">
            <w:pPr>
              <w:jc w:val="both"/>
              <w:rPr>
                <w:sz w:val="20"/>
                <w:szCs w:val="20"/>
              </w:rPr>
            </w:pPr>
            <w:r w:rsidRPr="0044044F">
              <w:rPr>
                <w:sz w:val="20"/>
                <w:szCs w:val="20"/>
              </w:rPr>
              <w:t>6. Надання транспортної послуги для осіб з інвалідністю та дітей з інвалідністю (119 осіб) – Соціальна послуга «Транспортні послуги».</w:t>
            </w:r>
          </w:p>
          <w:p w:rsidR="009424A4" w:rsidRPr="0044044F" w:rsidRDefault="009424A4" w:rsidP="009424A4">
            <w:pPr>
              <w:jc w:val="both"/>
              <w:rPr>
                <w:sz w:val="20"/>
                <w:szCs w:val="20"/>
              </w:rPr>
            </w:pPr>
            <w:r w:rsidRPr="0044044F">
              <w:rPr>
                <w:sz w:val="20"/>
                <w:szCs w:val="20"/>
              </w:rPr>
              <w:t>7. Денний догляд дітей з інвалідністю (з помірною розумовою відсталістю та/або тяжкими розладами психіки, які потребують догляду, навчання та реабілітації, можуть самостійно пересуватися та себе обслуговувати (13 осіб) – Соціальна послуга «Денний догляд».</w:t>
            </w:r>
          </w:p>
          <w:p w:rsidR="009424A4" w:rsidRPr="0044044F" w:rsidRDefault="009424A4" w:rsidP="009424A4">
            <w:pPr>
              <w:jc w:val="both"/>
              <w:rPr>
                <w:sz w:val="20"/>
                <w:szCs w:val="20"/>
              </w:rPr>
            </w:pPr>
            <w:r w:rsidRPr="0044044F">
              <w:rPr>
                <w:sz w:val="20"/>
                <w:szCs w:val="20"/>
              </w:rPr>
              <w:t>8. Паліативний догляд (24 особи) – Соціальна послуга «Паліативний догляд».</w:t>
            </w:r>
          </w:p>
          <w:p w:rsidR="009424A4" w:rsidRPr="0044044F" w:rsidRDefault="009424A4" w:rsidP="009424A4">
            <w:pPr>
              <w:jc w:val="both"/>
              <w:rPr>
                <w:sz w:val="20"/>
                <w:szCs w:val="20"/>
              </w:rPr>
            </w:pPr>
            <w:r w:rsidRPr="0044044F">
              <w:rPr>
                <w:sz w:val="20"/>
                <w:szCs w:val="20"/>
              </w:rPr>
              <w:t>9. Соціально-психологічна реабілітація осіб із залежністю від наркотичних засобів чи психотропних речовин (35 осіб) – Соціальна послуга «Соціально-психологічна реабілітація осіб із залежністю від наркотичних засобів чи психотропних речовин».</w:t>
            </w:r>
          </w:p>
          <w:p w:rsidR="009424A4" w:rsidRPr="0044044F" w:rsidRDefault="009424A4" w:rsidP="009424A4">
            <w:pPr>
              <w:jc w:val="both"/>
              <w:rPr>
                <w:sz w:val="20"/>
                <w:szCs w:val="20"/>
              </w:rPr>
            </w:pPr>
            <w:r w:rsidRPr="0044044F">
              <w:rPr>
                <w:sz w:val="20"/>
                <w:szCs w:val="20"/>
              </w:rPr>
              <w:t>10. Денний догляд осіб з психічними розладами (80 осіб) - Соціальна послуга «Денний догляд».</w:t>
            </w:r>
          </w:p>
          <w:p w:rsidR="009424A4" w:rsidRPr="0044044F" w:rsidRDefault="009424A4" w:rsidP="009424A4">
            <w:pPr>
              <w:jc w:val="both"/>
              <w:rPr>
                <w:sz w:val="20"/>
                <w:szCs w:val="20"/>
              </w:rPr>
            </w:pPr>
            <w:r w:rsidRPr="0044044F">
              <w:rPr>
                <w:sz w:val="20"/>
                <w:szCs w:val="20"/>
              </w:rPr>
              <w:t>11. Соціальна адаптація осіб, що частково втратили здатність до самообслуговування внаслідок психічного розладу (260 осіб) - Соціальна послуга «Соціальна адаптація».</w:t>
            </w:r>
          </w:p>
          <w:p w:rsidR="00497FAB" w:rsidRPr="00C803CB" w:rsidRDefault="009424A4" w:rsidP="009424A4">
            <w:pPr>
              <w:jc w:val="both"/>
              <w:rPr>
                <w:color w:val="FF0000"/>
                <w:sz w:val="24"/>
                <w:szCs w:val="24"/>
              </w:rPr>
            </w:pPr>
            <w:r w:rsidRPr="0044044F">
              <w:rPr>
                <w:sz w:val="20"/>
                <w:szCs w:val="20"/>
              </w:rPr>
              <w:t>Проте, враховуючи введення воєнного стану в Україні відповідно до Указу Президента України від 24.02.2022 № 64/2022 «Про введення воєнного стану в Україні», в результаті проведення евакуаційних заходів з небезпечних районів та зон міста Києва, зокрема дітей з інвалідністю, реалізація закупівлі додаткових соціальних послуг в повному обсязі неможлива.</w:t>
            </w:r>
          </w:p>
        </w:tc>
        <w:tc>
          <w:tcPr>
            <w:tcW w:w="2835" w:type="dxa"/>
          </w:tcPr>
          <w:p w:rsidR="001017D0" w:rsidRPr="00564890" w:rsidRDefault="001017D0" w:rsidP="001017D0">
            <w:pPr>
              <w:pStyle w:val="10"/>
              <w:tabs>
                <w:tab w:val="left" w:pos="178"/>
              </w:tabs>
              <w:spacing w:after="0" w:line="240" w:lineRule="auto"/>
              <w:ind w:left="-57" w:firstLine="252"/>
              <w:jc w:val="both"/>
              <w:rPr>
                <w:rFonts w:ascii="Times New Roman" w:hAnsi="Times New Roman"/>
                <w:color w:val="000000"/>
                <w:sz w:val="20"/>
                <w:szCs w:val="20"/>
              </w:rPr>
            </w:pPr>
            <w:proofErr w:type="spellStart"/>
            <w:r w:rsidRPr="00564890">
              <w:rPr>
                <w:rFonts w:ascii="Times New Roman" w:hAnsi="Times New Roman"/>
                <w:color w:val="000000"/>
                <w:sz w:val="20"/>
                <w:szCs w:val="20"/>
              </w:rPr>
              <w:t>Виконується</w:t>
            </w:r>
            <w:proofErr w:type="spellEnd"/>
            <w:r w:rsidRPr="00564890">
              <w:rPr>
                <w:rFonts w:ascii="Times New Roman" w:hAnsi="Times New Roman"/>
                <w:color w:val="000000"/>
                <w:sz w:val="20"/>
                <w:szCs w:val="20"/>
              </w:rPr>
              <w:t>.</w:t>
            </w:r>
          </w:p>
          <w:p w:rsidR="00497FAB" w:rsidRDefault="00497FAB">
            <w:pPr>
              <w:pStyle w:val="TableParagraph"/>
              <w:rPr>
                <w:sz w:val="16"/>
              </w:rPr>
            </w:pPr>
          </w:p>
        </w:tc>
      </w:tr>
      <w:tr w:rsidR="00497FAB" w:rsidTr="008D55AF">
        <w:trPr>
          <w:trHeight w:val="689"/>
        </w:trPr>
        <w:tc>
          <w:tcPr>
            <w:tcW w:w="666" w:type="dxa"/>
          </w:tcPr>
          <w:p w:rsidR="00497FAB" w:rsidRDefault="008F19A1">
            <w:pPr>
              <w:pStyle w:val="TableParagraph"/>
              <w:ind w:left="233"/>
              <w:rPr>
                <w:sz w:val="20"/>
              </w:rPr>
            </w:pPr>
            <w:r>
              <w:rPr>
                <w:sz w:val="20"/>
              </w:rPr>
              <w:lastRenderedPageBreak/>
              <w:t>71</w:t>
            </w:r>
          </w:p>
        </w:tc>
        <w:tc>
          <w:tcPr>
            <w:tcW w:w="3257" w:type="dxa"/>
          </w:tcPr>
          <w:p w:rsidR="00497FAB" w:rsidRDefault="008F19A1">
            <w:pPr>
              <w:pStyle w:val="TableParagraph"/>
              <w:tabs>
                <w:tab w:val="left" w:pos="1328"/>
                <w:tab w:val="left" w:pos="1706"/>
              </w:tabs>
              <w:spacing w:line="230" w:lineRule="atLeast"/>
              <w:ind w:left="107" w:right="95"/>
              <w:jc w:val="both"/>
              <w:rPr>
                <w:sz w:val="20"/>
              </w:rPr>
            </w:pPr>
            <w:r>
              <w:rPr>
                <w:sz w:val="20"/>
              </w:rPr>
              <w:t>Створення</w:t>
            </w:r>
            <w:r>
              <w:rPr>
                <w:sz w:val="20"/>
              </w:rPr>
              <w:tab/>
            </w:r>
            <w:r>
              <w:rPr>
                <w:sz w:val="20"/>
              </w:rPr>
              <w:tab/>
            </w:r>
            <w:r>
              <w:rPr>
                <w:spacing w:val="-1"/>
                <w:sz w:val="20"/>
              </w:rPr>
              <w:t xml:space="preserve">спеціалізованого </w:t>
            </w:r>
            <w:r>
              <w:rPr>
                <w:sz w:val="20"/>
              </w:rPr>
              <w:t>закладу</w:t>
            </w:r>
            <w:r>
              <w:rPr>
                <w:sz w:val="20"/>
              </w:rPr>
              <w:tab/>
            </w:r>
            <w:r>
              <w:rPr>
                <w:spacing w:val="-1"/>
                <w:sz w:val="20"/>
              </w:rPr>
              <w:t xml:space="preserve">психоневрологічного </w:t>
            </w:r>
            <w:r>
              <w:rPr>
                <w:sz w:val="20"/>
              </w:rPr>
              <w:t>профілю для осіб з</w:t>
            </w:r>
            <w:r>
              <w:rPr>
                <w:spacing w:val="-4"/>
                <w:sz w:val="20"/>
              </w:rPr>
              <w:t xml:space="preserve"> </w:t>
            </w:r>
            <w:r>
              <w:rPr>
                <w:sz w:val="20"/>
              </w:rPr>
              <w:t>інвалідністю</w:t>
            </w:r>
          </w:p>
        </w:tc>
        <w:tc>
          <w:tcPr>
            <w:tcW w:w="1926" w:type="dxa"/>
          </w:tcPr>
          <w:p w:rsidR="00497FAB" w:rsidRDefault="00497FAB">
            <w:pPr>
              <w:pStyle w:val="TableParagraph"/>
              <w:rPr>
                <w:sz w:val="16"/>
              </w:rPr>
            </w:pPr>
          </w:p>
        </w:tc>
        <w:tc>
          <w:tcPr>
            <w:tcW w:w="7229" w:type="dxa"/>
          </w:tcPr>
          <w:p w:rsidR="00497FAB" w:rsidRPr="00234292" w:rsidRDefault="001017D0" w:rsidP="00CD4484">
            <w:pPr>
              <w:pStyle w:val="10"/>
              <w:tabs>
                <w:tab w:val="left" w:pos="178"/>
              </w:tabs>
              <w:spacing w:after="0" w:line="240" w:lineRule="auto"/>
              <w:ind w:left="-57" w:firstLine="252"/>
              <w:jc w:val="both"/>
              <w:rPr>
                <w:sz w:val="16"/>
                <w:lang w:val="uk-UA"/>
              </w:rPr>
            </w:pPr>
            <w:r w:rsidRPr="001017D0">
              <w:rPr>
                <w:rFonts w:ascii="Times New Roman" w:hAnsi="Times New Roman"/>
                <w:color w:val="000000"/>
                <w:sz w:val="20"/>
                <w:szCs w:val="20"/>
              </w:rPr>
              <w:t xml:space="preserve">Не </w:t>
            </w:r>
            <w:proofErr w:type="spellStart"/>
            <w:r w:rsidRPr="001017D0">
              <w:rPr>
                <w:rFonts w:ascii="Times New Roman" w:hAnsi="Times New Roman"/>
                <w:color w:val="000000"/>
                <w:sz w:val="20"/>
                <w:szCs w:val="20"/>
              </w:rPr>
              <w:t>виконано</w:t>
            </w:r>
            <w:proofErr w:type="spellEnd"/>
            <w:r w:rsidR="00234292">
              <w:rPr>
                <w:rFonts w:ascii="Times New Roman" w:hAnsi="Times New Roman"/>
                <w:color w:val="000000"/>
                <w:sz w:val="20"/>
                <w:szCs w:val="20"/>
                <w:lang w:val="uk-UA"/>
              </w:rPr>
              <w:t xml:space="preserve"> </w:t>
            </w:r>
          </w:p>
        </w:tc>
        <w:tc>
          <w:tcPr>
            <w:tcW w:w="2835" w:type="dxa"/>
          </w:tcPr>
          <w:p w:rsidR="00CD4484" w:rsidRPr="0044044F" w:rsidRDefault="00CD4484" w:rsidP="00CD4484">
            <w:pPr>
              <w:jc w:val="both"/>
              <w:rPr>
                <w:sz w:val="20"/>
                <w:szCs w:val="20"/>
              </w:rPr>
            </w:pPr>
            <w:r w:rsidRPr="0044044F">
              <w:rPr>
                <w:sz w:val="20"/>
                <w:szCs w:val="20"/>
              </w:rPr>
              <w:t xml:space="preserve">Департаментом соціальної політики виконавчого органу Київської міської ради (Київської міської державної адміністрації) (далі – Департамент) здійснено виїзний огляд 1-го відділення санаторію «Перше травня» під  психоневрологічний інтернат в Пуща-Водиці на вул. Квітки </w:t>
            </w:r>
            <w:proofErr w:type="spellStart"/>
            <w:r w:rsidRPr="0044044F">
              <w:rPr>
                <w:sz w:val="20"/>
                <w:szCs w:val="20"/>
              </w:rPr>
              <w:t>Цісик</w:t>
            </w:r>
            <w:proofErr w:type="spellEnd"/>
            <w:r w:rsidRPr="0044044F">
              <w:rPr>
                <w:sz w:val="20"/>
                <w:szCs w:val="20"/>
              </w:rPr>
              <w:t xml:space="preserve"> (Гамарника), 28 у Оболонському районі м. Києва.</w:t>
            </w:r>
          </w:p>
          <w:p w:rsidR="00CD4484" w:rsidRPr="0044044F" w:rsidRDefault="00CD4484" w:rsidP="00CD4484">
            <w:pPr>
              <w:jc w:val="both"/>
              <w:rPr>
                <w:sz w:val="20"/>
                <w:szCs w:val="20"/>
              </w:rPr>
            </w:pPr>
            <w:r w:rsidRPr="0044044F">
              <w:rPr>
                <w:sz w:val="20"/>
                <w:szCs w:val="20"/>
              </w:rPr>
              <w:t>Під час огляду зазначеного об’єкту встановлено, що приміщення санаторію перебувають в незадовільному стані. Частина приміщень об’єкта реконструкції знаходиться в напівзруйнованому стані без вікон та покрівлі, з відсутніми ознаками здійснення будівельних робіт. Приміщення адміністративного корпусу реконструйовано частково, відсутні вікна та частина покрівлі, у зв’язку з чим оздоблювальні матеріали зазнали пошкоджень. На території знаходяться будівельні матеріали не придатні для подальшого використання.</w:t>
            </w:r>
          </w:p>
          <w:p w:rsidR="00CD4484" w:rsidRPr="0044044F" w:rsidRDefault="00CD4484" w:rsidP="00CD4484">
            <w:pPr>
              <w:jc w:val="both"/>
              <w:rPr>
                <w:sz w:val="20"/>
                <w:szCs w:val="20"/>
              </w:rPr>
            </w:pPr>
            <w:r w:rsidRPr="0044044F">
              <w:rPr>
                <w:sz w:val="20"/>
                <w:szCs w:val="20"/>
              </w:rPr>
              <w:t xml:space="preserve">З метою визначення балансової вартості та обсягу виконаних робіт виникла необхідність у замовленні технічного аудиту стану будівель 1-го відділення санаторію «Перше травня» під  психоневрологічний інтернат в </w:t>
            </w:r>
            <w:r w:rsidRPr="0044044F">
              <w:rPr>
                <w:sz w:val="20"/>
                <w:szCs w:val="20"/>
              </w:rPr>
              <w:lastRenderedPageBreak/>
              <w:t xml:space="preserve">Пуща-Водиці на вул. Квітки </w:t>
            </w:r>
            <w:proofErr w:type="spellStart"/>
            <w:r w:rsidRPr="0044044F">
              <w:rPr>
                <w:sz w:val="20"/>
                <w:szCs w:val="20"/>
              </w:rPr>
              <w:t>Цісик</w:t>
            </w:r>
            <w:proofErr w:type="spellEnd"/>
            <w:r w:rsidRPr="0044044F">
              <w:rPr>
                <w:sz w:val="20"/>
                <w:szCs w:val="20"/>
              </w:rPr>
              <w:t xml:space="preserve"> (Гамарника), 28 у Оболонському районі м. Києва.</w:t>
            </w:r>
          </w:p>
          <w:p w:rsidR="00CD4484" w:rsidRPr="0044044F" w:rsidRDefault="00CD4484" w:rsidP="00CD4484">
            <w:pPr>
              <w:jc w:val="both"/>
              <w:rPr>
                <w:sz w:val="20"/>
                <w:szCs w:val="20"/>
              </w:rPr>
            </w:pPr>
            <w:r w:rsidRPr="0044044F">
              <w:rPr>
                <w:sz w:val="20"/>
                <w:szCs w:val="20"/>
              </w:rPr>
              <w:t xml:space="preserve">Враховуючи зазначене, подальші дії щодо реконструкції об’єкту можливі після визначення балансової вартості та обсягу виконаних робіт будівель 1-го відділення санаторію «Перше травня» під психоневрологічний інтернат в Пуща-Водиці на вул. Квітки </w:t>
            </w:r>
            <w:proofErr w:type="spellStart"/>
            <w:r w:rsidRPr="0044044F">
              <w:rPr>
                <w:sz w:val="20"/>
                <w:szCs w:val="20"/>
              </w:rPr>
              <w:t>Цісик</w:t>
            </w:r>
            <w:proofErr w:type="spellEnd"/>
            <w:r w:rsidRPr="0044044F">
              <w:rPr>
                <w:sz w:val="20"/>
                <w:szCs w:val="20"/>
              </w:rPr>
              <w:t xml:space="preserve"> (Гамарника), 28 у Оболонському районі міста Києва шляхом замовлення технічного аудиту за рахунок коштів Департаменту, що будуть передбачені в бюджетному році.</w:t>
            </w:r>
          </w:p>
          <w:p w:rsidR="00497FAB" w:rsidRDefault="00CD4484" w:rsidP="00CD4484">
            <w:pPr>
              <w:pStyle w:val="TableParagraph"/>
              <w:rPr>
                <w:sz w:val="16"/>
              </w:rPr>
            </w:pPr>
            <w:r w:rsidRPr="0044044F">
              <w:rPr>
                <w:sz w:val="20"/>
                <w:szCs w:val="20"/>
              </w:rPr>
              <w:t xml:space="preserve">Водночас розпорядженням виконавчого органу Київської міської ради (Київської міської державної адміністрації) від 31 грудня 2021 року № 2815 «Про внесення змін до розпорядження виконавчого органу Київської міської ради (Київської міської державної адміністрації) від 25 серпня 2020 року №1279» </w:t>
            </w:r>
            <w:proofErr w:type="spellStart"/>
            <w:r w:rsidRPr="0044044F">
              <w:rPr>
                <w:sz w:val="20"/>
                <w:szCs w:val="20"/>
              </w:rPr>
              <w:t>внесено</w:t>
            </w:r>
            <w:proofErr w:type="spellEnd"/>
            <w:r w:rsidRPr="0044044F">
              <w:rPr>
                <w:sz w:val="20"/>
                <w:szCs w:val="20"/>
              </w:rPr>
              <w:t xml:space="preserve"> зміни до підпункту 2.1 пункту 2 зазначеного розпорядження, в частині продовження строків реконструкції з надбудовою 1-го відділення санаторію «Перше Травня» під психоневрологічний інтернат в Пуща-Водиці на вул. Квітки </w:t>
            </w:r>
            <w:proofErr w:type="spellStart"/>
            <w:r w:rsidRPr="0044044F">
              <w:rPr>
                <w:sz w:val="20"/>
                <w:szCs w:val="20"/>
              </w:rPr>
              <w:t>Цісик</w:t>
            </w:r>
            <w:proofErr w:type="spellEnd"/>
            <w:r w:rsidRPr="0044044F">
              <w:rPr>
                <w:sz w:val="20"/>
                <w:szCs w:val="20"/>
              </w:rPr>
              <w:t xml:space="preserve"> (Гамарника), 28 у Оболонському районі міста </w:t>
            </w:r>
            <w:r w:rsidRPr="0044044F">
              <w:rPr>
                <w:sz w:val="20"/>
                <w:szCs w:val="20"/>
              </w:rPr>
              <w:lastRenderedPageBreak/>
              <w:t>Києва до 31 грудня 2025 року.</w:t>
            </w:r>
          </w:p>
        </w:tc>
      </w:tr>
      <w:tr w:rsidR="00497FAB" w:rsidTr="008D55AF">
        <w:trPr>
          <w:trHeight w:val="2529"/>
        </w:trPr>
        <w:tc>
          <w:tcPr>
            <w:tcW w:w="666" w:type="dxa"/>
          </w:tcPr>
          <w:p w:rsidR="00497FAB" w:rsidRDefault="008F19A1">
            <w:pPr>
              <w:pStyle w:val="TableParagraph"/>
              <w:ind w:left="233"/>
              <w:rPr>
                <w:sz w:val="20"/>
              </w:rPr>
            </w:pPr>
            <w:r>
              <w:rPr>
                <w:sz w:val="20"/>
              </w:rPr>
              <w:lastRenderedPageBreak/>
              <w:t>75</w:t>
            </w:r>
          </w:p>
        </w:tc>
        <w:tc>
          <w:tcPr>
            <w:tcW w:w="3257" w:type="dxa"/>
          </w:tcPr>
          <w:p w:rsidR="00497FAB" w:rsidRDefault="008F19A1">
            <w:pPr>
              <w:pStyle w:val="TableParagraph"/>
              <w:tabs>
                <w:tab w:val="left" w:pos="1043"/>
                <w:tab w:val="left" w:pos="1781"/>
                <w:tab w:val="left" w:pos="1824"/>
                <w:tab w:val="left" w:pos="2399"/>
                <w:tab w:val="left" w:pos="2625"/>
                <w:tab w:val="left" w:pos="2760"/>
                <w:tab w:val="left" w:pos="3070"/>
              </w:tabs>
              <w:spacing w:line="230" w:lineRule="atLeast"/>
              <w:ind w:left="107" w:right="95"/>
              <w:rPr>
                <w:sz w:val="20"/>
              </w:rPr>
            </w:pPr>
            <w:r>
              <w:rPr>
                <w:sz w:val="20"/>
              </w:rPr>
              <w:t>Підвищення рівня комфортності та доступності всіх елементів міської інфраструктури</w:t>
            </w:r>
            <w:r>
              <w:rPr>
                <w:sz w:val="20"/>
              </w:rPr>
              <w:tab/>
              <w:t>для</w:t>
            </w:r>
            <w:r>
              <w:rPr>
                <w:sz w:val="20"/>
              </w:rPr>
              <w:tab/>
              <w:t>осіб</w:t>
            </w:r>
            <w:r>
              <w:rPr>
                <w:sz w:val="20"/>
              </w:rPr>
              <w:tab/>
            </w:r>
            <w:r>
              <w:rPr>
                <w:sz w:val="20"/>
              </w:rPr>
              <w:tab/>
            </w:r>
            <w:r>
              <w:rPr>
                <w:spacing w:val="-17"/>
                <w:sz w:val="20"/>
              </w:rPr>
              <w:t xml:space="preserve">з </w:t>
            </w:r>
            <w:r>
              <w:rPr>
                <w:sz w:val="20"/>
              </w:rPr>
              <w:t>інвалідністю</w:t>
            </w:r>
            <w:r>
              <w:rPr>
                <w:sz w:val="20"/>
              </w:rPr>
              <w:tab/>
            </w:r>
            <w:r>
              <w:rPr>
                <w:sz w:val="20"/>
              </w:rPr>
              <w:tab/>
              <w:t>та</w:t>
            </w:r>
            <w:r>
              <w:rPr>
                <w:sz w:val="20"/>
              </w:rPr>
              <w:tab/>
            </w:r>
            <w:r>
              <w:rPr>
                <w:sz w:val="20"/>
              </w:rPr>
              <w:tab/>
            </w:r>
            <w:r>
              <w:rPr>
                <w:spacing w:val="-4"/>
                <w:sz w:val="20"/>
              </w:rPr>
              <w:t xml:space="preserve">інших </w:t>
            </w:r>
            <w:proofErr w:type="spellStart"/>
            <w:r>
              <w:rPr>
                <w:sz w:val="20"/>
              </w:rPr>
              <w:t>маломобільних</w:t>
            </w:r>
            <w:proofErr w:type="spellEnd"/>
            <w:r>
              <w:rPr>
                <w:sz w:val="20"/>
              </w:rPr>
              <w:t xml:space="preserve"> груп населення (у співпраці з Міським комітетом доступності осіб з інвалідністю </w:t>
            </w:r>
            <w:r>
              <w:rPr>
                <w:spacing w:val="-8"/>
                <w:sz w:val="20"/>
              </w:rPr>
              <w:t xml:space="preserve">та </w:t>
            </w:r>
            <w:r>
              <w:rPr>
                <w:sz w:val="20"/>
              </w:rPr>
              <w:t>інших</w:t>
            </w:r>
            <w:r>
              <w:rPr>
                <w:sz w:val="20"/>
              </w:rPr>
              <w:tab/>
            </w:r>
            <w:proofErr w:type="spellStart"/>
            <w:r>
              <w:rPr>
                <w:sz w:val="20"/>
              </w:rPr>
              <w:t>маломобільних</w:t>
            </w:r>
            <w:proofErr w:type="spellEnd"/>
            <w:r>
              <w:rPr>
                <w:sz w:val="20"/>
              </w:rPr>
              <w:tab/>
            </w:r>
            <w:r>
              <w:rPr>
                <w:sz w:val="20"/>
              </w:rPr>
              <w:tab/>
            </w:r>
            <w:r>
              <w:rPr>
                <w:sz w:val="20"/>
              </w:rPr>
              <w:tab/>
            </w:r>
            <w:r>
              <w:rPr>
                <w:spacing w:val="-5"/>
                <w:sz w:val="20"/>
              </w:rPr>
              <w:t xml:space="preserve">груп </w:t>
            </w:r>
            <w:r>
              <w:rPr>
                <w:sz w:val="20"/>
              </w:rPr>
              <w:t>населення) до об'єктів соціальної</w:t>
            </w:r>
            <w:r>
              <w:rPr>
                <w:spacing w:val="-38"/>
                <w:sz w:val="20"/>
              </w:rPr>
              <w:t xml:space="preserve"> </w:t>
            </w:r>
            <w:r>
              <w:rPr>
                <w:sz w:val="20"/>
              </w:rPr>
              <w:t>та інженерно-транспортної інфраструктури</w:t>
            </w:r>
          </w:p>
        </w:tc>
        <w:tc>
          <w:tcPr>
            <w:tcW w:w="1926" w:type="dxa"/>
          </w:tcPr>
          <w:p w:rsidR="00497FAB" w:rsidRDefault="00497FAB">
            <w:pPr>
              <w:pStyle w:val="TableParagraph"/>
              <w:rPr>
                <w:sz w:val="16"/>
              </w:rPr>
            </w:pPr>
          </w:p>
        </w:tc>
        <w:tc>
          <w:tcPr>
            <w:tcW w:w="7229" w:type="dxa"/>
          </w:tcPr>
          <w:p w:rsidR="00497FAB" w:rsidRPr="00C803CB" w:rsidRDefault="00E472AE">
            <w:pPr>
              <w:pStyle w:val="TableParagraph"/>
              <w:rPr>
                <w:color w:val="FF0000"/>
                <w:sz w:val="16"/>
              </w:rPr>
            </w:pPr>
            <w:r w:rsidRPr="001017D0">
              <w:rPr>
                <w:color w:val="000000"/>
                <w:sz w:val="20"/>
                <w:szCs w:val="20"/>
              </w:rPr>
              <w:t>Не виконано</w:t>
            </w:r>
          </w:p>
        </w:tc>
        <w:tc>
          <w:tcPr>
            <w:tcW w:w="2835" w:type="dxa"/>
          </w:tcPr>
          <w:p w:rsidR="00E472AE" w:rsidRPr="00564890" w:rsidRDefault="00E472AE" w:rsidP="007D491D">
            <w:pPr>
              <w:pStyle w:val="Standard"/>
              <w:spacing w:after="0" w:line="240" w:lineRule="auto"/>
              <w:jc w:val="both"/>
              <w:rPr>
                <w:rFonts w:ascii="Times New Roman" w:hAnsi="Times New Roman" w:cs="Times New Roman"/>
                <w:color w:val="000000"/>
                <w:sz w:val="20"/>
                <w:szCs w:val="20"/>
              </w:rPr>
            </w:pPr>
            <w:r w:rsidRPr="00564890">
              <w:rPr>
                <w:rFonts w:ascii="Times New Roman" w:hAnsi="Times New Roman" w:cs="Times New Roman"/>
                <w:color w:val="000000"/>
                <w:sz w:val="20"/>
                <w:szCs w:val="20"/>
              </w:rPr>
              <w:t xml:space="preserve">У зв’язку з воєнним станом на території Україні, який введено відповідно до Указу Президента України від 24.02.2022  </w:t>
            </w:r>
            <w:r w:rsidRPr="00564890">
              <w:rPr>
                <w:rFonts w:ascii="Times New Roman" w:hAnsi="Times New Roman" w:cs="Times New Roman"/>
                <w:color w:val="000000"/>
                <w:sz w:val="20"/>
                <w:szCs w:val="20"/>
              </w:rPr>
              <w:br/>
              <w:t xml:space="preserve">№ 64/2022 «Про введення воєнного стану в Україні» засідання міського комітету доступності осіб з інвалідністю та інших </w:t>
            </w:r>
            <w:proofErr w:type="spellStart"/>
            <w:r w:rsidRPr="00564890">
              <w:rPr>
                <w:rFonts w:ascii="Times New Roman" w:hAnsi="Times New Roman" w:cs="Times New Roman"/>
                <w:color w:val="000000"/>
                <w:sz w:val="20"/>
                <w:szCs w:val="20"/>
              </w:rPr>
              <w:t>маломобільних</w:t>
            </w:r>
            <w:proofErr w:type="spellEnd"/>
            <w:r w:rsidRPr="00564890">
              <w:rPr>
                <w:rFonts w:ascii="Times New Roman" w:hAnsi="Times New Roman" w:cs="Times New Roman"/>
                <w:color w:val="000000"/>
                <w:sz w:val="20"/>
                <w:szCs w:val="20"/>
              </w:rPr>
              <w:t xml:space="preserve"> груп населення до об'єктів соціальної та</w:t>
            </w:r>
            <w:r w:rsidR="007D491D">
              <w:rPr>
                <w:rFonts w:ascii="Times New Roman" w:hAnsi="Times New Roman" w:cs="Times New Roman"/>
                <w:color w:val="000000"/>
                <w:sz w:val="20"/>
                <w:szCs w:val="20"/>
              </w:rPr>
              <w:t xml:space="preserve"> </w:t>
            </w:r>
            <w:r w:rsidRPr="00564890">
              <w:rPr>
                <w:rFonts w:ascii="Times New Roman" w:hAnsi="Times New Roman" w:cs="Times New Roman"/>
                <w:color w:val="000000"/>
                <w:sz w:val="20"/>
                <w:szCs w:val="20"/>
              </w:rPr>
              <w:t>інженерно-транспортної інфраструктури у січні-</w:t>
            </w:r>
            <w:r>
              <w:rPr>
                <w:rFonts w:ascii="Times New Roman" w:hAnsi="Times New Roman" w:cs="Times New Roman"/>
                <w:color w:val="000000"/>
                <w:sz w:val="20"/>
                <w:szCs w:val="20"/>
              </w:rPr>
              <w:t>вересні</w:t>
            </w:r>
            <w:r w:rsidRPr="00564890">
              <w:rPr>
                <w:rFonts w:ascii="Times New Roman" w:hAnsi="Times New Roman" w:cs="Times New Roman"/>
                <w:color w:val="000000"/>
                <w:sz w:val="20"/>
                <w:szCs w:val="20"/>
              </w:rPr>
              <w:t xml:space="preserve"> 2022 року не проводились.</w:t>
            </w:r>
          </w:p>
          <w:p w:rsidR="00497FAB" w:rsidRDefault="00497FAB">
            <w:pPr>
              <w:pStyle w:val="TableParagraph"/>
              <w:rPr>
                <w:sz w:val="16"/>
              </w:rPr>
            </w:pPr>
          </w:p>
        </w:tc>
      </w:tr>
      <w:tr w:rsidR="00497FAB" w:rsidTr="007D491D">
        <w:trPr>
          <w:trHeight w:val="229"/>
        </w:trPr>
        <w:tc>
          <w:tcPr>
            <w:tcW w:w="15913" w:type="dxa"/>
            <w:gridSpan w:val="5"/>
          </w:tcPr>
          <w:p w:rsidR="00497FAB" w:rsidRDefault="008F19A1">
            <w:pPr>
              <w:pStyle w:val="TableParagraph"/>
              <w:spacing w:line="210" w:lineRule="exact"/>
              <w:ind w:left="108"/>
              <w:rPr>
                <w:sz w:val="20"/>
              </w:rPr>
            </w:pPr>
            <w:r>
              <w:rPr>
                <w:sz w:val="20"/>
              </w:rPr>
              <w:t>Завдання 1.2. Підвищення ефективності функціонування системи соціальної допомоги</w:t>
            </w:r>
          </w:p>
        </w:tc>
      </w:tr>
      <w:tr w:rsidR="00497FAB" w:rsidTr="008D55AF">
        <w:trPr>
          <w:trHeight w:val="2759"/>
        </w:trPr>
        <w:tc>
          <w:tcPr>
            <w:tcW w:w="666" w:type="dxa"/>
          </w:tcPr>
          <w:p w:rsidR="00497FAB" w:rsidRDefault="008F19A1">
            <w:pPr>
              <w:pStyle w:val="TableParagraph"/>
              <w:ind w:left="233"/>
              <w:rPr>
                <w:sz w:val="20"/>
              </w:rPr>
            </w:pPr>
            <w:r>
              <w:rPr>
                <w:sz w:val="20"/>
              </w:rPr>
              <w:t>79</w:t>
            </w:r>
          </w:p>
        </w:tc>
        <w:tc>
          <w:tcPr>
            <w:tcW w:w="3257" w:type="dxa"/>
          </w:tcPr>
          <w:p w:rsidR="00497FAB" w:rsidRDefault="008F19A1" w:rsidP="00C803CB">
            <w:pPr>
              <w:pStyle w:val="TableParagraph"/>
              <w:tabs>
                <w:tab w:val="left" w:pos="1843"/>
                <w:tab w:val="left" w:pos="2243"/>
              </w:tabs>
              <w:spacing w:line="230" w:lineRule="atLeast"/>
              <w:ind w:left="107" w:right="95"/>
              <w:jc w:val="both"/>
              <w:rPr>
                <w:sz w:val="20"/>
              </w:rPr>
            </w:pPr>
            <w:r>
              <w:rPr>
                <w:sz w:val="20"/>
              </w:rPr>
              <w:t>Забезпечення надання комплексної соціальної підтримки учасникам АТО/ООС, членам їх сімей та членам сімей загиблих (померлих) киян, які брали</w:t>
            </w:r>
            <w:r w:rsidR="00C803CB">
              <w:rPr>
                <w:sz w:val="20"/>
              </w:rPr>
              <w:t xml:space="preserve"> участь в АТО/ООС, постраждалим </w:t>
            </w:r>
            <w:r>
              <w:rPr>
                <w:spacing w:val="-3"/>
                <w:sz w:val="20"/>
              </w:rPr>
              <w:t xml:space="preserve">учасникам </w:t>
            </w:r>
            <w:r>
              <w:rPr>
                <w:sz w:val="20"/>
              </w:rPr>
              <w:t>Революції Гідності та членам сімей Героїв Небесної Сотні (зокрема, наданн</w:t>
            </w:r>
            <w:r w:rsidR="00C803CB">
              <w:rPr>
                <w:sz w:val="20"/>
              </w:rPr>
              <w:t xml:space="preserve">я </w:t>
            </w:r>
            <w:r>
              <w:rPr>
                <w:spacing w:val="-1"/>
                <w:sz w:val="20"/>
              </w:rPr>
              <w:t xml:space="preserve">психологічних, </w:t>
            </w:r>
            <w:r w:rsidR="00C803CB">
              <w:rPr>
                <w:sz w:val="20"/>
              </w:rPr>
              <w:t xml:space="preserve">юридичних, </w:t>
            </w:r>
            <w:r>
              <w:rPr>
                <w:spacing w:val="-1"/>
                <w:sz w:val="20"/>
              </w:rPr>
              <w:t xml:space="preserve">соціально- </w:t>
            </w:r>
            <w:r>
              <w:rPr>
                <w:sz w:val="20"/>
              </w:rPr>
              <w:t>педагогічних та ін. видів</w:t>
            </w:r>
            <w:r>
              <w:rPr>
                <w:spacing w:val="-30"/>
                <w:sz w:val="20"/>
              </w:rPr>
              <w:t xml:space="preserve"> </w:t>
            </w:r>
            <w:r>
              <w:rPr>
                <w:sz w:val="20"/>
              </w:rPr>
              <w:t>соціальної допомоги)</w:t>
            </w:r>
          </w:p>
        </w:tc>
        <w:tc>
          <w:tcPr>
            <w:tcW w:w="1926" w:type="dxa"/>
          </w:tcPr>
          <w:p w:rsidR="00497FAB" w:rsidRDefault="00497FAB">
            <w:pPr>
              <w:pStyle w:val="TableParagraph"/>
              <w:rPr>
                <w:sz w:val="16"/>
              </w:rPr>
            </w:pPr>
          </w:p>
        </w:tc>
        <w:tc>
          <w:tcPr>
            <w:tcW w:w="7229" w:type="dxa"/>
          </w:tcPr>
          <w:p w:rsidR="00632259" w:rsidRPr="000C56AB" w:rsidRDefault="00632259" w:rsidP="007D491D">
            <w:pPr>
              <w:shd w:val="clear" w:color="auto" w:fill="FFFFFF"/>
              <w:ind w:left="40" w:firstLine="488"/>
              <w:jc w:val="both"/>
              <w:rPr>
                <w:sz w:val="20"/>
                <w:szCs w:val="20"/>
              </w:rPr>
            </w:pPr>
            <w:r w:rsidRPr="000C56AB">
              <w:rPr>
                <w:sz w:val="20"/>
                <w:szCs w:val="20"/>
              </w:rPr>
              <w:t>У Реєстрі киян – учасників антитерористичної операції, членів їх сімей та членів сімей загиблих (померлих) киян, які брали участь в проведенні антитерористичної операції станом на 01.</w:t>
            </w:r>
            <w:r w:rsidRPr="000C56AB">
              <w:rPr>
                <w:sz w:val="20"/>
                <w:szCs w:val="20"/>
                <w:lang w:val="ru-RU"/>
              </w:rPr>
              <w:t>10</w:t>
            </w:r>
            <w:r w:rsidRPr="000C56AB">
              <w:rPr>
                <w:sz w:val="20"/>
                <w:szCs w:val="20"/>
              </w:rPr>
              <w:t>.2022 на обліку перебувало 32 809</w:t>
            </w:r>
            <w:r w:rsidRPr="000C56AB">
              <w:rPr>
                <w:sz w:val="20"/>
                <w:szCs w:val="20"/>
                <w:lang w:val="ru-RU"/>
              </w:rPr>
              <w:t xml:space="preserve"> </w:t>
            </w:r>
            <w:r w:rsidRPr="000C56AB">
              <w:rPr>
                <w:sz w:val="20"/>
                <w:szCs w:val="20"/>
              </w:rPr>
              <w:t xml:space="preserve">учасника антитерористичної операції). </w:t>
            </w:r>
          </w:p>
          <w:p w:rsidR="00632259" w:rsidRPr="000C56AB" w:rsidRDefault="00632259" w:rsidP="007D491D">
            <w:pPr>
              <w:pStyle w:val="aa"/>
              <w:widowControl w:val="0"/>
              <w:ind w:left="0"/>
              <w:jc w:val="both"/>
              <w:rPr>
                <w:sz w:val="20"/>
                <w:szCs w:val="20"/>
                <w:lang w:val="uk-UA"/>
              </w:rPr>
            </w:pPr>
            <w:r>
              <w:rPr>
                <w:sz w:val="20"/>
                <w:szCs w:val="20"/>
                <w:lang w:val="uk-UA"/>
              </w:rPr>
              <w:t>В</w:t>
            </w:r>
            <w:r w:rsidRPr="000C56AB">
              <w:rPr>
                <w:sz w:val="20"/>
                <w:szCs w:val="20"/>
                <w:lang w:val="uk-UA"/>
              </w:rPr>
              <w:t xml:space="preserve">продовж 9 місяців 2022 року до Київського міського центру соціальних служб звернулись 582 особи з числа фахівців (72 особи), які працюють з сім’ями учасників бойових дій та учасниками бойових дій та членами їх сімей, які звернулись до районних центрів соціальних і були залучені на рівні міста до соціально адаптаційних заходів (510 осіб). Фахівці відвідують </w:t>
            </w:r>
            <w:proofErr w:type="spellStart"/>
            <w:r w:rsidRPr="000C56AB">
              <w:rPr>
                <w:sz w:val="20"/>
                <w:szCs w:val="20"/>
                <w:lang w:val="uk-UA"/>
              </w:rPr>
              <w:t>супервізійні</w:t>
            </w:r>
            <w:proofErr w:type="spellEnd"/>
            <w:r w:rsidRPr="000C56AB">
              <w:rPr>
                <w:sz w:val="20"/>
                <w:szCs w:val="20"/>
                <w:lang w:val="uk-UA"/>
              </w:rPr>
              <w:t xml:space="preserve"> зустрічі, а отримувачі послуг мають можливість відвідувати інтерактивні програми для сімей (</w:t>
            </w:r>
            <w:proofErr w:type="spellStart"/>
            <w:r w:rsidRPr="000C56AB">
              <w:rPr>
                <w:sz w:val="20"/>
                <w:szCs w:val="20"/>
                <w:lang w:val="uk-UA"/>
              </w:rPr>
              <w:t>ролердром</w:t>
            </w:r>
            <w:proofErr w:type="spellEnd"/>
            <w:r w:rsidRPr="000C56AB">
              <w:rPr>
                <w:sz w:val="20"/>
                <w:szCs w:val="20"/>
                <w:lang w:val="uk-UA"/>
              </w:rPr>
              <w:t xml:space="preserve">, </w:t>
            </w:r>
            <w:proofErr w:type="spellStart"/>
            <w:r w:rsidRPr="000C56AB">
              <w:rPr>
                <w:sz w:val="20"/>
                <w:szCs w:val="20"/>
                <w:lang w:val="uk-UA"/>
              </w:rPr>
              <w:t>скеледром,спортивна</w:t>
            </w:r>
            <w:proofErr w:type="spellEnd"/>
            <w:r w:rsidRPr="000C56AB">
              <w:rPr>
                <w:sz w:val="20"/>
                <w:szCs w:val="20"/>
                <w:lang w:val="uk-UA"/>
              </w:rPr>
              <w:t xml:space="preserve"> рибна ловля тощо).  </w:t>
            </w:r>
          </w:p>
          <w:p w:rsidR="00632259" w:rsidRPr="000C56AB" w:rsidRDefault="00632259" w:rsidP="007D491D">
            <w:pPr>
              <w:ind w:firstLine="567"/>
              <w:jc w:val="both"/>
              <w:rPr>
                <w:color w:val="000000"/>
                <w:sz w:val="20"/>
                <w:szCs w:val="20"/>
              </w:rPr>
            </w:pPr>
            <w:r w:rsidRPr="000C56AB">
              <w:rPr>
                <w:color w:val="000000"/>
                <w:sz w:val="20"/>
                <w:szCs w:val="20"/>
              </w:rPr>
              <w:t>Протягом дев’яти місяців 2022 року,  силами Київського міського центру соціальних служб, підготовлено 460  інформаційних одиниць щодо допомоги та послуг учасникам бойових дій та членам їх сімей. На районному рівні сім’ї учасників бойових дій отримують соціальні послуги за місцем проживання.</w:t>
            </w:r>
            <w:r>
              <w:rPr>
                <w:color w:val="000000"/>
                <w:sz w:val="20"/>
                <w:szCs w:val="20"/>
              </w:rPr>
              <w:t xml:space="preserve"> </w:t>
            </w:r>
            <w:r w:rsidRPr="000C56AB">
              <w:rPr>
                <w:color w:val="000000"/>
                <w:sz w:val="20"/>
                <w:szCs w:val="20"/>
              </w:rPr>
              <w:t xml:space="preserve">Соціальні послуги надавались відповідно до державних стандартів, а саме: </w:t>
            </w:r>
          </w:p>
          <w:p w:rsidR="00632259" w:rsidRPr="000C56AB" w:rsidRDefault="00632259" w:rsidP="00632259">
            <w:pPr>
              <w:shd w:val="clear" w:color="auto" w:fill="FFFFFF"/>
              <w:ind w:firstLine="567"/>
              <w:jc w:val="both"/>
              <w:rPr>
                <w:color w:val="000000"/>
                <w:sz w:val="20"/>
                <w:szCs w:val="20"/>
              </w:rPr>
            </w:pPr>
            <w:r w:rsidRPr="000C56AB">
              <w:rPr>
                <w:color w:val="000000"/>
                <w:sz w:val="20"/>
                <w:szCs w:val="20"/>
              </w:rPr>
              <w:t>- інформування – 2136;</w:t>
            </w:r>
          </w:p>
          <w:p w:rsidR="00632259" w:rsidRPr="000C56AB" w:rsidRDefault="00632259" w:rsidP="00632259">
            <w:pPr>
              <w:shd w:val="clear" w:color="auto" w:fill="FFFFFF"/>
              <w:ind w:firstLine="567"/>
              <w:jc w:val="both"/>
              <w:rPr>
                <w:color w:val="000000"/>
                <w:sz w:val="20"/>
                <w:szCs w:val="20"/>
              </w:rPr>
            </w:pPr>
            <w:r w:rsidRPr="000C56AB">
              <w:rPr>
                <w:color w:val="000000"/>
                <w:sz w:val="20"/>
                <w:szCs w:val="20"/>
              </w:rPr>
              <w:t>- консультування – 1207;</w:t>
            </w:r>
          </w:p>
          <w:p w:rsidR="00632259" w:rsidRPr="000C56AB" w:rsidRDefault="00632259" w:rsidP="00632259">
            <w:pPr>
              <w:shd w:val="clear" w:color="auto" w:fill="FFFFFF"/>
              <w:ind w:firstLine="567"/>
              <w:jc w:val="both"/>
              <w:rPr>
                <w:color w:val="000000"/>
                <w:sz w:val="20"/>
                <w:szCs w:val="20"/>
              </w:rPr>
            </w:pPr>
            <w:r w:rsidRPr="000C56AB">
              <w:rPr>
                <w:color w:val="000000"/>
                <w:sz w:val="20"/>
                <w:szCs w:val="20"/>
              </w:rPr>
              <w:t>- соціальна адаптація – 23;</w:t>
            </w:r>
          </w:p>
          <w:p w:rsidR="00632259" w:rsidRPr="000C56AB" w:rsidRDefault="00632259" w:rsidP="00632259">
            <w:pPr>
              <w:shd w:val="clear" w:color="auto" w:fill="FFFFFF"/>
              <w:ind w:firstLine="567"/>
              <w:jc w:val="both"/>
              <w:rPr>
                <w:color w:val="000000"/>
                <w:sz w:val="20"/>
                <w:szCs w:val="20"/>
              </w:rPr>
            </w:pPr>
            <w:r w:rsidRPr="000C56AB">
              <w:rPr>
                <w:color w:val="000000"/>
                <w:sz w:val="20"/>
                <w:szCs w:val="20"/>
              </w:rPr>
              <w:t>- соціальний супровід – 5;</w:t>
            </w:r>
          </w:p>
          <w:p w:rsidR="00632259" w:rsidRPr="000C56AB" w:rsidRDefault="00632259" w:rsidP="00632259">
            <w:pPr>
              <w:shd w:val="clear" w:color="auto" w:fill="FFFFFF"/>
              <w:ind w:firstLine="567"/>
              <w:jc w:val="both"/>
              <w:rPr>
                <w:color w:val="000000"/>
                <w:sz w:val="20"/>
                <w:szCs w:val="20"/>
              </w:rPr>
            </w:pPr>
            <w:r w:rsidRPr="000C56AB">
              <w:rPr>
                <w:color w:val="000000"/>
                <w:sz w:val="20"/>
                <w:szCs w:val="20"/>
              </w:rPr>
              <w:t>- представництво інтересів – 624;</w:t>
            </w:r>
          </w:p>
          <w:p w:rsidR="00632259" w:rsidRPr="000C56AB" w:rsidRDefault="00632259" w:rsidP="00632259">
            <w:pPr>
              <w:shd w:val="clear" w:color="auto" w:fill="FFFFFF"/>
              <w:ind w:firstLine="567"/>
              <w:jc w:val="both"/>
              <w:rPr>
                <w:color w:val="000000"/>
                <w:sz w:val="20"/>
                <w:szCs w:val="20"/>
              </w:rPr>
            </w:pPr>
            <w:r w:rsidRPr="000C56AB">
              <w:rPr>
                <w:color w:val="000000"/>
                <w:sz w:val="20"/>
                <w:szCs w:val="20"/>
              </w:rPr>
              <w:lastRenderedPageBreak/>
              <w:t>- екстрене (кризове втручання)  – 34;</w:t>
            </w:r>
          </w:p>
          <w:p w:rsidR="00632259" w:rsidRPr="000C56AB" w:rsidRDefault="00632259" w:rsidP="00632259">
            <w:pPr>
              <w:shd w:val="clear" w:color="auto" w:fill="FFFFFF"/>
              <w:ind w:firstLine="567"/>
              <w:jc w:val="both"/>
              <w:rPr>
                <w:color w:val="000000"/>
                <w:sz w:val="20"/>
                <w:szCs w:val="20"/>
              </w:rPr>
            </w:pPr>
            <w:r w:rsidRPr="000C56AB">
              <w:rPr>
                <w:color w:val="000000"/>
                <w:sz w:val="20"/>
                <w:szCs w:val="20"/>
              </w:rPr>
              <w:t>- соціальна профілактика – 506;</w:t>
            </w:r>
          </w:p>
          <w:p w:rsidR="00632259" w:rsidRPr="000C56AB" w:rsidRDefault="00632259" w:rsidP="00632259">
            <w:pPr>
              <w:shd w:val="clear" w:color="auto" w:fill="FFFFFF"/>
              <w:ind w:firstLine="567"/>
              <w:jc w:val="both"/>
              <w:rPr>
                <w:color w:val="000000"/>
                <w:sz w:val="20"/>
                <w:szCs w:val="20"/>
              </w:rPr>
            </w:pPr>
            <w:r w:rsidRPr="000C56AB">
              <w:rPr>
                <w:color w:val="000000"/>
                <w:sz w:val="20"/>
                <w:szCs w:val="20"/>
              </w:rPr>
              <w:t>- інші послуги – 575.</w:t>
            </w:r>
          </w:p>
          <w:p w:rsidR="00632259" w:rsidRPr="000C56AB" w:rsidRDefault="00632259" w:rsidP="00632259">
            <w:pPr>
              <w:shd w:val="clear" w:color="auto" w:fill="FFFFFF"/>
              <w:ind w:firstLine="567"/>
              <w:jc w:val="both"/>
              <w:rPr>
                <w:color w:val="000000"/>
                <w:sz w:val="20"/>
                <w:szCs w:val="20"/>
              </w:rPr>
            </w:pPr>
            <w:r w:rsidRPr="000C56AB">
              <w:rPr>
                <w:color w:val="000000"/>
                <w:sz w:val="20"/>
                <w:szCs w:val="20"/>
              </w:rPr>
              <w:t xml:space="preserve"> Кількість сімей, яким у результаті наданих соціальних послуг, задоволено потреби щодо: психологічної допомоги – 64; юридичної допомоги – 32; працевлаштування – 3, влаштування до закладів освіти – 4; організації лікування/оздоровлення – 9, сприяння у вирішенні житлово-побутових    проблем – 3, налагодження </w:t>
            </w:r>
            <w:proofErr w:type="spellStart"/>
            <w:r w:rsidRPr="000C56AB">
              <w:rPr>
                <w:color w:val="000000"/>
                <w:sz w:val="20"/>
                <w:szCs w:val="20"/>
              </w:rPr>
              <w:t>зв’язків</w:t>
            </w:r>
            <w:proofErr w:type="spellEnd"/>
            <w:r w:rsidRPr="000C56AB">
              <w:rPr>
                <w:color w:val="000000"/>
                <w:sz w:val="20"/>
                <w:szCs w:val="20"/>
              </w:rPr>
              <w:t xml:space="preserve"> з членами родини/громадою – 1514, гуманітарна допомога – 942, сприяння в оформленні/відновленні документів, у </w:t>
            </w:r>
            <w:proofErr w:type="spellStart"/>
            <w:r w:rsidRPr="000C56AB">
              <w:rPr>
                <w:color w:val="000000"/>
                <w:sz w:val="20"/>
                <w:szCs w:val="20"/>
              </w:rPr>
              <w:t>т.ч</w:t>
            </w:r>
            <w:proofErr w:type="spellEnd"/>
            <w:r w:rsidRPr="000C56AB">
              <w:rPr>
                <w:color w:val="000000"/>
                <w:sz w:val="20"/>
                <w:szCs w:val="20"/>
              </w:rPr>
              <w:t xml:space="preserve">. для призначення соціальних виплат – 21. Також, направлено до закладів: охорони здоров’я – 42, системи соціального захисту – 78. </w:t>
            </w:r>
          </w:p>
          <w:p w:rsidR="00497FAB" w:rsidRPr="00234292" w:rsidRDefault="00632259" w:rsidP="00632259">
            <w:pPr>
              <w:jc w:val="both"/>
              <w:rPr>
                <w:color w:val="FF0000"/>
                <w:sz w:val="24"/>
                <w:szCs w:val="24"/>
              </w:rPr>
            </w:pPr>
            <w:r w:rsidRPr="000C56AB">
              <w:rPr>
                <w:sz w:val="20"/>
                <w:szCs w:val="20"/>
              </w:rPr>
              <w:t xml:space="preserve">        Протягом 9 місяців 2022 року силами районних центрів соціальних служб м. Києва створено 574 інформаційних одиниць щодо допомоги учасникам бойових дій (</w:t>
            </w:r>
            <w:proofErr w:type="spellStart"/>
            <w:r w:rsidRPr="000C56AB">
              <w:rPr>
                <w:sz w:val="20"/>
                <w:szCs w:val="20"/>
              </w:rPr>
              <w:t>військослужбовців</w:t>
            </w:r>
            <w:proofErr w:type="spellEnd"/>
            <w:r w:rsidRPr="000C56AB">
              <w:rPr>
                <w:sz w:val="20"/>
                <w:szCs w:val="20"/>
              </w:rPr>
              <w:t xml:space="preserve"> ЗСУ) та членам їх сімей,  якими охоплено 24 126 осіб.</w:t>
            </w:r>
          </w:p>
        </w:tc>
        <w:tc>
          <w:tcPr>
            <w:tcW w:w="2835" w:type="dxa"/>
          </w:tcPr>
          <w:p w:rsidR="00497FAB" w:rsidRDefault="00497FAB">
            <w:pPr>
              <w:pStyle w:val="TableParagraph"/>
              <w:rPr>
                <w:sz w:val="16"/>
              </w:rPr>
            </w:pPr>
          </w:p>
        </w:tc>
      </w:tr>
      <w:tr w:rsidR="00497FAB" w:rsidTr="008D55AF">
        <w:trPr>
          <w:trHeight w:val="689"/>
        </w:trPr>
        <w:tc>
          <w:tcPr>
            <w:tcW w:w="666" w:type="dxa"/>
          </w:tcPr>
          <w:p w:rsidR="00497FAB" w:rsidRDefault="008F19A1">
            <w:pPr>
              <w:pStyle w:val="TableParagraph"/>
              <w:spacing w:line="230" w:lineRule="exact"/>
              <w:ind w:left="233"/>
              <w:rPr>
                <w:sz w:val="20"/>
              </w:rPr>
            </w:pPr>
            <w:r>
              <w:rPr>
                <w:sz w:val="20"/>
              </w:rPr>
              <w:t>80</w:t>
            </w:r>
          </w:p>
        </w:tc>
        <w:tc>
          <w:tcPr>
            <w:tcW w:w="3257" w:type="dxa"/>
          </w:tcPr>
          <w:p w:rsidR="00497FAB" w:rsidRDefault="008F19A1" w:rsidP="00CD4484">
            <w:pPr>
              <w:pStyle w:val="TableParagraph"/>
              <w:spacing w:before="2" w:line="230" w:lineRule="exact"/>
              <w:ind w:left="107" w:right="96"/>
              <w:jc w:val="both"/>
              <w:rPr>
                <w:sz w:val="20"/>
              </w:rPr>
            </w:pPr>
            <w:r>
              <w:rPr>
                <w:sz w:val="20"/>
              </w:rPr>
              <w:t>Розв’язання нагальних проблем внутрішньо переміщених осіб (зокрема,</w:t>
            </w:r>
            <w:r>
              <w:rPr>
                <w:spacing w:val="-10"/>
                <w:sz w:val="20"/>
              </w:rPr>
              <w:t xml:space="preserve"> </w:t>
            </w:r>
            <w:r>
              <w:rPr>
                <w:sz w:val="20"/>
              </w:rPr>
              <w:t>видача</w:t>
            </w:r>
            <w:r w:rsidR="00E472AE">
              <w:rPr>
                <w:sz w:val="20"/>
              </w:rPr>
              <w:t xml:space="preserve"> на</w:t>
            </w:r>
            <w:r w:rsidR="00E472AE">
              <w:rPr>
                <w:sz w:val="20"/>
              </w:rPr>
              <w:tab/>
              <w:t>облік ВПО та</w:t>
            </w:r>
            <w:r w:rsidR="00E472AE">
              <w:rPr>
                <w:sz w:val="20"/>
              </w:rPr>
              <w:tab/>
            </w:r>
            <w:r w:rsidR="00E472AE">
              <w:rPr>
                <w:spacing w:val="-3"/>
                <w:sz w:val="20"/>
              </w:rPr>
              <w:t xml:space="preserve">надання </w:t>
            </w:r>
            <w:r w:rsidR="00E472AE">
              <w:rPr>
                <w:sz w:val="20"/>
              </w:rPr>
              <w:t>щомісячної адресної</w:t>
            </w:r>
            <w:r w:rsidR="00E472AE">
              <w:rPr>
                <w:spacing w:val="-3"/>
                <w:sz w:val="20"/>
              </w:rPr>
              <w:t xml:space="preserve"> </w:t>
            </w:r>
            <w:r w:rsidR="00E472AE">
              <w:rPr>
                <w:sz w:val="20"/>
              </w:rPr>
              <w:t>допомоги</w:t>
            </w:r>
            <w:r w:rsidR="00CD4484">
              <w:rPr>
                <w:sz w:val="20"/>
              </w:rPr>
              <w:t>.</w:t>
            </w:r>
            <w:r w:rsidR="00E472AE">
              <w:rPr>
                <w:sz w:val="20"/>
              </w:rPr>
              <w:t xml:space="preserve"> </w:t>
            </w:r>
          </w:p>
        </w:tc>
        <w:tc>
          <w:tcPr>
            <w:tcW w:w="1926" w:type="dxa"/>
          </w:tcPr>
          <w:p w:rsidR="00497FAB" w:rsidRDefault="00497FAB">
            <w:pPr>
              <w:pStyle w:val="TableParagraph"/>
              <w:rPr>
                <w:sz w:val="16"/>
              </w:rPr>
            </w:pPr>
          </w:p>
        </w:tc>
        <w:tc>
          <w:tcPr>
            <w:tcW w:w="7229" w:type="dxa"/>
          </w:tcPr>
          <w:p w:rsidR="00497FAB" w:rsidRDefault="009E7FA3">
            <w:pPr>
              <w:pStyle w:val="TableParagraph"/>
              <w:rPr>
                <w:sz w:val="20"/>
              </w:rPr>
            </w:pPr>
            <w:r w:rsidRPr="001017D0">
              <w:rPr>
                <w:sz w:val="20"/>
              </w:rPr>
              <w:t xml:space="preserve">Взято на облік 336 470 осіб відповідно до Порядку оформлення і видачі довідки про взяття на облік внутрішньо переміщеної особи, в </w:t>
            </w:r>
            <w:proofErr w:type="spellStart"/>
            <w:r w:rsidRPr="001017D0">
              <w:rPr>
                <w:sz w:val="20"/>
              </w:rPr>
              <w:t>т.ч</w:t>
            </w:r>
            <w:proofErr w:type="spellEnd"/>
            <w:r w:rsidRPr="001017D0">
              <w:rPr>
                <w:sz w:val="20"/>
              </w:rPr>
              <w:t>. за 9 місяців 2022 року – 179 680 осіб. Нараховано грошову допомогу в сумі 1475850,96 тис. грн. відповідно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E472AE" w:rsidRDefault="00E472AE" w:rsidP="00E472AE">
            <w:pPr>
              <w:pStyle w:val="TableParagraph"/>
              <w:rPr>
                <w:sz w:val="16"/>
              </w:rPr>
            </w:pPr>
          </w:p>
        </w:tc>
        <w:tc>
          <w:tcPr>
            <w:tcW w:w="2835" w:type="dxa"/>
          </w:tcPr>
          <w:p w:rsidR="009E7FA3" w:rsidRPr="00564890" w:rsidRDefault="009E7FA3" w:rsidP="009E7FA3">
            <w:pPr>
              <w:pStyle w:val="10"/>
              <w:tabs>
                <w:tab w:val="left" w:pos="178"/>
              </w:tabs>
              <w:spacing w:after="0" w:line="240" w:lineRule="auto"/>
              <w:ind w:left="-57" w:firstLine="252"/>
              <w:jc w:val="both"/>
              <w:rPr>
                <w:rFonts w:ascii="Times New Roman" w:hAnsi="Times New Roman"/>
                <w:color w:val="000000"/>
                <w:sz w:val="20"/>
                <w:szCs w:val="20"/>
              </w:rPr>
            </w:pPr>
            <w:proofErr w:type="spellStart"/>
            <w:r w:rsidRPr="00564890">
              <w:rPr>
                <w:rFonts w:ascii="Times New Roman" w:hAnsi="Times New Roman"/>
                <w:color w:val="000000"/>
                <w:sz w:val="20"/>
                <w:szCs w:val="20"/>
              </w:rPr>
              <w:t>Виконується</w:t>
            </w:r>
            <w:proofErr w:type="spellEnd"/>
            <w:r w:rsidRPr="00564890">
              <w:rPr>
                <w:rFonts w:ascii="Times New Roman" w:hAnsi="Times New Roman"/>
                <w:color w:val="000000"/>
                <w:sz w:val="20"/>
                <w:szCs w:val="20"/>
              </w:rPr>
              <w:t>.</w:t>
            </w:r>
          </w:p>
          <w:p w:rsidR="00497FAB" w:rsidRDefault="00497FAB">
            <w:pPr>
              <w:pStyle w:val="TableParagraph"/>
              <w:rPr>
                <w:sz w:val="16"/>
              </w:rPr>
            </w:pPr>
          </w:p>
        </w:tc>
      </w:tr>
    </w:tbl>
    <w:p w:rsidR="00497FAB" w:rsidRDefault="00497FAB">
      <w:pPr>
        <w:spacing w:before="1"/>
        <w:rPr>
          <w:sz w:val="7"/>
        </w:rPr>
      </w:pPr>
    </w:p>
    <w:tbl>
      <w:tblPr>
        <w:tblStyle w:val="TableNormal"/>
        <w:tblW w:w="1591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80"/>
        <w:gridCol w:w="3118"/>
        <w:gridCol w:w="59"/>
        <w:gridCol w:w="1926"/>
        <w:gridCol w:w="7229"/>
        <w:gridCol w:w="2835"/>
      </w:tblGrid>
      <w:tr w:rsidR="00497FAB" w:rsidRPr="00632259" w:rsidTr="008D55AF">
        <w:trPr>
          <w:trHeight w:val="422"/>
        </w:trPr>
        <w:tc>
          <w:tcPr>
            <w:tcW w:w="666" w:type="dxa"/>
          </w:tcPr>
          <w:p w:rsidR="00497FAB" w:rsidRDefault="008F19A1">
            <w:pPr>
              <w:pStyle w:val="TableParagraph"/>
              <w:ind w:left="233"/>
              <w:rPr>
                <w:sz w:val="20"/>
              </w:rPr>
            </w:pPr>
            <w:r>
              <w:rPr>
                <w:sz w:val="20"/>
              </w:rPr>
              <w:t>81</w:t>
            </w:r>
          </w:p>
        </w:tc>
        <w:tc>
          <w:tcPr>
            <w:tcW w:w="3257" w:type="dxa"/>
            <w:gridSpan w:val="3"/>
          </w:tcPr>
          <w:p w:rsidR="00497FAB" w:rsidRDefault="008F19A1">
            <w:pPr>
              <w:pStyle w:val="TableParagraph"/>
              <w:tabs>
                <w:tab w:val="left" w:pos="1231"/>
                <w:tab w:val="left" w:pos="2571"/>
              </w:tabs>
              <w:spacing w:line="230" w:lineRule="atLeast"/>
              <w:ind w:left="107" w:right="96"/>
              <w:rPr>
                <w:sz w:val="20"/>
              </w:rPr>
            </w:pPr>
            <w:r>
              <w:rPr>
                <w:sz w:val="20"/>
              </w:rPr>
              <w:t>Надання</w:t>
            </w:r>
            <w:r>
              <w:rPr>
                <w:sz w:val="20"/>
              </w:rPr>
              <w:tab/>
              <w:t>соціальних</w:t>
            </w:r>
            <w:r>
              <w:rPr>
                <w:sz w:val="20"/>
              </w:rPr>
              <w:tab/>
            </w:r>
            <w:r>
              <w:rPr>
                <w:spacing w:val="-3"/>
                <w:sz w:val="20"/>
              </w:rPr>
              <w:t xml:space="preserve">послуг </w:t>
            </w:r>
            <w:r>
              <w:rPr>
                <w:sz w:val="20"/>
              </w:rPr>
              <w:t>одиноким непрацездатним</w:t>
            </w:r>
            <w:r>
              <w:rPr>
                <w:spacing w:val="-8"/>
                <w:sz w:val="20"/>
              </w:rPr>
              <w:t xml:space="preserve"> </w:t>
            </w:r>
            <w:r>
              <w:rPr>
                <w:sz w:val="20"/>
              </w:rPr>
              <w:t>особам</w:t>
            </w:r>
          </w:p>
        </w:tc>
        <w:tc>
          <w:tcPr>
            <w:tcW w:w="1926" w:type="dxa"/>
          </w:tcPr>
          <w:p w:rsidR="00497FAB" w:rsidRDefault="00497FAB">
            <w:pPr>
              <w:pStyle w:val="TableParagraph"/>
              <w:rPr>
                <w:sz w:val="14"/>
              </w:rPr>
            </w:pPr>
          </w:p>
        </w:tc>
        <w:tc>
          <w:tcPr>
            <w:tcW w:w="7229" w:type="dxa"/>
          </w:tcPr>
          <w:p w:rsidR="000343EA" w:rsidRPr="000343EA" w:rsidRDefault="000343EA" w:rsidP="000343EA">
            <w:pPr>
              <w:pStyle w:val="TableParagraph"/>
              <w:tabs>
                <w:tab w:val="left" w:pos="1231"/>
                <w:tab w:val="left" w:pos="2571"/>
              </w:tabs>
              <w:spacing w:line="230" w:lineRule="atLeast"/>
              <w:ind w:left="107" w:right="96"/>
              <w:jc w:val="both"/>
              <w:rPr>
                <w:sz w:val="20"/>
              </w:rPr>
            </w:pPr>
            <w:r w:rsidRPr="000343EA">
              <w:rPr>
                <w:sz w:val="20"/>
              </w:rPr>
              <w:t>У місті функціонують міський територіальний центр та 10 районних територіальних центрів соціального обслуговування (надання соціальних послуг) (далі – районні територіальні центри), де на обліку перебуває 25 557 осіб, яким за звітний період 2022 року надано майже 3,7 млн. різноманітних соціальних послуг.</w:t>
            </w:r>
          </w:p>
          <w:p w:rsidR="000343EA" w:rsidRPr="000343EA" w:rsidRDefault="000343EA" w:rsidP="000343EA">
            <w:pPr>
              <w:pStyle w:val="TableParagraph"/>
              <w:tabs>
                <w:tab w:val="left" w:pos="1231"/>
                <w:tab w:val="left" w:pos="2571"/>
              </w:tabs>
              <w:spacing w:line="230" w:lineRule="atLeast"/>
              <w:ind w:left="107" w:right="96"/>
              <w:jc w:val="both"/>
              <w:rPr>
                <w:sz w:val="20"/>
              </w:rPr>
            </w:pPr>
            <w:r w:rsidRPr="000343EA">
              <w:rPr>
                <w:sz w:val="20"/>
              </w:rPr>
              <w:t xml:space="preserve">Переважною формою обслуговування є надання соціальних послуг догляду вдома та паліативного догляду, що надаються 34 відділеннями (з них 31 відділення соціальної допомоги вдома районних територіальних центрів, 1 спеціалізоване відділення соціальної допомоги вдома інвалідам з психічними захворюваннями міського територіального центру, 1 відділення паліативної допомоги вдома територіального центру соціального обслуговування (надання соціальних послуг) Печерського району м. Києва та 1 відділення паліативного догляду вдома територіального центру соціального обслуговування населення Солом’янського району м. Києва), на обліку в яких перебуває 10 549 осіб. </w:t>
            </w:r>
          </w:p>
          <w:p w:rsidR="000343EA" w:rsidRPr="000343EA" w:rsidRDefault="000343EA" w:rsidP="000343EA">
            <w:pPr>
              <w:pStyle w:val="TableParagraph"/>
              <w:tabs>
                <w:tab w:val="left" w:pos="1231"/>
                <w:tab w:val="left" w:pos="2571"/>
              </w:tabs>
              <w:spacing w:line="230" w:lineRule="atLeast"/>
              <w:ind w:left="107" w:right="96"/>
              <w:jc w:val="both"/>
              <w:rPr>
                <w:sz w:val="20"/>
              </w:rPr>
            </w:pPr>
            <w:r w:rsidRPr="000343EA">
              <w:rPr>
                <w:sz w:val="20"/>
              </w:rPr>
              <w:t xml:space="preserve">За звітній період соціальні робітники міського та районних територіальних центрів надали 10 150 громадянам 2 626 572 заходи соціальної послуги догляду вдома, 399 громадянам – 217 518 заходів соціальної послуги паліативного догляду,  5 979 громадянам – 74 046 заходів соціальної послуги представництва </w:t>
            </w:r>
            <w:r w:rsidRPr="000343EA">
              <w:rPr>
                <w:sz w:val="20"/>
              </w:rPr>
              <w:lastRenderedPageBreak/>
              <w:t>інтересів та 710 громадянам – 5 551 захід соціальної послуги фізичного супроводу осіб з інвалідністю, які мають порушення опорно-рухового апарату.</w:t>
            </w:r>
          </w:p>
          <w:p w:rsidR="000343EA" w:rsidRPr="000343EA" w:rsidRDefault="000343EA" w:rsidP="000343EA">
            <w:pPr>
              <w:pStyle w:val="TableParagraph"/>
              <w:tabs>
                <w:tab w:val="left" w:pos="1231"/>
                <w:tab w:val="left" w:pos="2571"/>
              </w:tabs>
              <w:spacing w:line="230" w:lineRule="atLeast"/>
              <w:ind w:left="107" w:right="96"/>
              <w:jc w:val="both"/>
              <w:rPr>
                <w:sz w:val="20"/>
              </w:rPr>
            </w:pPr>
            <w:r w:rsidRPr="000343EA">
              <w:rPr>
                <w:sz w:val="20"/>
              </w:rPr>
              <w:t>Також, територіальними центрами соціального обслуговування Деснянського, Дніпровського, Оболонського, Святошинського, Солом’янського та Шевченківського районів м. Києва протягом звітного періоду надавалися платні соціальні послуги. За звітний період 221 підопічному було надано 5 060 заходів соціальних послуг. Сума коштів, що надійшла від отримувачів платних послуг складає 208,40 тис. грн.</w:t>
            </w:r>
          </w:p>
          <w:p w:rsidR="000343EA" w:rsidRPr="000343EA" w:rsidRDefault="000343EA" w:rsidP="000343EA">
            <w:pPr>
              <w:pStyle w:val="TableParagraph"/>
              <w:tabs>
                <w:tab w:val="left" w:pos="1231"/>
                <w:tab w:val="left" w:pos="2571"/>
              </w:tabs>
              <w:spacing w:line="230" w:lineRule="atLeast"/>
              <w:ind w:left="107" w:right="96"/>
              <w:jc w:val="both"/>
              <w:rPr>
                <w:sz w:val="20"/>
              </w:rPr>
            </w:pPr>
            <w:r w:rsidRPr="000343EA">
              <w:rPr>
                <w:sz w:val="20"/>
              </w:rPr>
              <w:t>Соціальні послуги соціальної адаптації та консультування надаються районними територіальними центрами у 13 відділеннях денного перебування, на обліку в яких перебуває 5 477 осіб. За звітний період 5 671 особа отримала 106 248 заходів соціальної адаптації та 1 853 особи – 4 376 заходів соціальної послуги консультування.</w:t>
            </w:r>
          </w:p>
          <w:p w:rsidR="000343EA" w:rsidRPr="000343EA" w:rsidRDefault="000343EA" w:rsidP="000343EA">
            <w:pPr>
              <w:pStyle w:val="TableParagraph"/>
              <w:tabs>
                <w:tab w:val="left" w:pos="1231"/>
                <w:tab w:val="left" w:pos="2571"/>
              </w:tabs>
              <w:spacing w:line="230" w:lineRule="atLeast"/>
              <w:ind w:left="107" w:right="96"/>
              <w:jc w:val="both"/>
              <w:rPr>
                <w:sz w:val="20"/>
              </w:rPr>
            </w:pPr>
            <w:r w:rsidRPr="000343EA">
              <w:rPr>
                <w:sz w:val="20"/>
              </w:rPr>
              <w:t xml:space="preserve">Соціальна послуга натуральної допомоги надається міським та районними територіальними центрами у відділеннях організації надання адресної натуральної та грошової допомоги, на обліку в яких перебуває 7 462 особи. За звітний період 19 379 отримувачам соціальних послуг міського та районних територіальних центрів надано 316 970 заходів соціальної послуги. </w:t>
            </w:r>
          </w:p>
          <w:p w:rsidR="000343EA" w:rsidRPr="000343EA" w:rsidRDefault="000343EA" w:rsidP="000343EA">
            <w:pPr>
              <w:pStyle w:val="TableParagraph"/>
              <w:tabs>
                <w:tab w:val="left" w:pos="1231"/>
                <w:tab w:val="left" w:pos="2571"/>
              </w:tabs>
              <w:spacing w:line="230" w:lineRule="atLeast"/>
              <w:ind w:left="107" w:right="96"/>
              <w:jc w:val="both"/>
              <w:rPr>
                <w:sz w:val="20"/>
              </w:rPr>
            </w:pPr>
            <w:r w:rsidRPr="000343EA">
              <w:rPr>
                <w:sz w:val="20"/>
              </w:rPr>
              <w:t>У структурах 5 районних територіальних центрів (Голосіївський, Деснянський, Печерський, Солом’янський та Шевченківський райони) функціонують відділення надання соціальних та реабілітаційних послуг для дітей з інвалідністю, в яких на обліку перебуває 266 дітей. За звітний період діти з інвалідністю отримали 182 654 заходи соціальної послуги.</w:t>
            </w:r>
          </w:p>
          <w:p w:rsidR="000343EA" w:rsidRPr="000343EA" w:rsidRDefault="000343EA" w:rsidP="000343EA">
            <w:pPr>
              <w:pStyle w:val="TableParagraph"/>
              <w:tabs>
                <w:tab w:val="left" w:pos="1231"/>
                <w:tab w:val="left" w:pos="2571"/>
              </w:tabs>
              <w:spacing w:line="230" w:lineRule="atLeast"/>
              <w:ind w:left="107" w:right="96"/>
              <w:jc w:val="both"/>
              <w:rPr>
                <w:sz w:val="20"/>
              </w:rPr>
            </w:pPr>
            <w:r w:rsidRPr="000343EA">
              <w:rPr>
                <w:sz w:val="20"/>
              </w:rPr>
              <w:t xml:space="preserve">У структурі міського територіального центру функціонує єдине в місті Києві відділення надання транспортних послуг, яке протягом  звітного періоду здійснило 15 438 перевезень 829 осіб з інвалідністю. </w:t>
            </w:r>
          </w:p>
          <w:p w:rsidR="000343EA" w:rsidRPr="000343EA" w:rsidRDefault="000343EA" w:rsidP="000343EA">
            <w:pPr>
              <w:pStyle w:val="TableParagraph"/>
              <w:tabs>
                <w:tab w:val="left" w:pos="1231"/>
                <w:tab w:val="left" w:pos="2571"/>
              </w:tabs>
              <w:spacing w:line="230" w:lineRule="atLeast"/>
              <w:ind w:left="107" w:right="96"/>
              <w:jc w:val="both"/>
              <w:rPr>
                <w:sz w:val="20"/>
              </w:rPr>
            </w:pPr>
            <w:r w:rsidRPr="000343EA">
              <w:rPr>
                <w:sz w:val="20"/>
              </w:rPr>
              <w:t>З метою підтримки киян з числа одиноких людей похилого віку та осіб з інвалідністю, установами соціального захисту активно надається натуральна допомога від благодійників. Зокрема, районними територіальними центрами, у співпраці з благодійними організаціями та соціально відповідальним бізнесом, для отримувачів соціальних послуг доставлено 63 433 продуктових набори, 24 081 овочевий набір, 161 125 гарячих обідів.</w:t>
            </w:r>
          </w:p>
          <w:p w:rsidR="00497FAB" w:rsidRDefault="000343EA" w:rsidP="000343EA">
            <w:pPr>
              <w:pStyle w:val="TableParagraph"/>
              <w:tabs>
                <w:tab w:val="left" w:pos="1231"/>
                <w:tab w:val="left" w:pos="2571"/>
              </w:tabs>
              <w:spacing w:line="230" w:lineRule="atLeast"/>
              <w:ind w:left="107" w:right="96"/>
              <w:jc w:val="both"/>
              <w:rPr>
                <w:sz w:val="14"/>
              </w:rPr>
            </w:pPr>
            <w:r w:rsidRPr="000343EA">
              <w:rPr>
                <w:sz w:val="20"/>
              </w:rPr>
              <w:t>Крім цього, гуманітарна допомога надавалася 49 391 малозабезпеченому мешканцю міста, з числа людей похилого віку, осіб з інвалідністю та сімей, в яких виховуються діти з інвалідністю, які не перебувають на обліку в територіальних центрах та 2 994 внутрішньо переміщеним особам.</w:t>
            </w:r>
          </w:p>
        </w:tc>
        <w:tc>
          <w:tcPr>
            <w:tcW w:w="2835" w:type="dxa"/>
          </w:tcPr>
          <w:p w:rsidR="00497FAB" w:rsidRDefault="00497FAB">
            <w:pPr>
              <w:pStyle w:val="TableParagraph"/>
              <w:rPr>
                <w:sz w:val="14"/>
              </w:rPr>
            </w:pPr>
          </w:p>
        </w:tc>
      </w:tr>
      <w:tr w:rsidR="00497FAB" w:rsidTr="008D55AF">
        <w:trPr>
          <w:trHeight w:val="459"/>
        </w:trPr>
        <w:tc>
          <w:tcPr>
            <w:tcW w:w="666" w:type="dxa"/>
          </w:tcPr>
          <w:p w:rsidR="00497FAB" w:rsidRDefault="008F19A1">
            <w:pPr>
              <w:pStyle w:val="TableParagraph"/>
              <w:ind w:left="233"/>
              <w:rPr>
                <w:sz w:val="20"/>
              </w:rPr>
            </w:pPr>
            <w:r>
              <w:rPr>
                <w:sz w:val="20"/>
              </w:rPr>
              <w:t>82</w:t>
            </w:r>
          </w:p>
        </w:tc>
        <w:tc>
          <w:tcPr>
            <w:tcW w:w="3257" w:type="dxa"/>
            <w:gridSpan w:val="3"/>
          </w:tcPr>
          <w:p w:rsidR="00497FAB" w:rsidRDefault="008F19A1">
            <w:pPr>
              <w:pStyle w:val="TableParagraph"/>
              <w:spacing w:line="230" w:lineRule="atLeast"/>
              <w:ind w:left="107" w:right="90"/>
              <w:rPr>
                <w:sz w:val="20"/>
              </w:rPr>
            </w:pPr>
            <w:r>
              <w:rPr>
                <w:sz w:val="20"/>
              </w:rPr>
              <w:t>Професійна та трудова реабілітація осіб з інвалідністю</w:t>
            </w:r>
          </w:p>
        </w:tc>
        <w:tc>
          <w:tcPr>
            <w:tcW w:w="1926" w:type="dxa"/>
          </w:tcPr>
          <w:p w:rsidR="00497FAB" w:rsidRDefault="00497FAB">
            <w:pPr>
              <w:pStyle w:val="TableParagraph"/>
              <w:rPr>
                <w:sz w:val="14"/>
              </w:rPr>
            </w:pPr>
          </w:p>
        </w:tc>
        <w:tc>
          <w:tcPr>
            <w:tcW w:w="7229" w:type="dxa"/>
          </w:tcPr>
          <w:p w:rsidR="001017D0" w:rsidRPr="001017D0" w:rsidRDefault="001017D0" w:rsidP="001017D0">
            <w:pPr>
              <w:pStyle w:val="TableParagraph"/>
              <w:tabs>
                <w:tab w:val="left" w:pos="1231"/>
                <w:tab w:val="left" w:pos="2571"/>
              </w:tabs>
              <w:spacing w:line="230" w:lineRule="atLeast"/>
              <w:ind w:left="107" w:right="96"/>
              <w:jc w:val="both"/>
              <w:rPr>
                <w:sz w:val="20"/>
              </w:rPr>
            </w:pPr>
            <w:r w:rsidRPr="001017D0">
              <w:rPr>
                <w:sz w:val="20"/>
              </w:rPr>
              <w:t xml:space="preserve">Відповідно до Положення, затвердженого розпорядженням Київської міської державної адміністрації від 05.08.1998 № 1626 (у редакції розпорядження виконавчого органу Київської міської ради (Київської міської державної </w:t>
            </w:r>
            <w:r w:rsidRPr="001017D0">
              <w:rPr>
                <w:sz w:val="20"/>
              </w:rPr>
              <w:lastRenderedPageBreak/>
              <w:t>адміністрації) від 16.05.2017 № 574 Київський міський Центр соціальної, професійної та трудової реабілітації інвалідів здійснює заходи з професійної та трудової реабілітації.</w:t>
            </w:r>
          </w:p>
          <w:p w:rsidR="001017D0" w:rsidRPr="001017D0" w:rsidRDefault="001017D0" w:rsidP="001017D0">
            <w:pPr>
              <w:pStyle w:val="TableParagraph"/>
              <w:tabs>
                <w:tab w:val="left" w:pos="1231"/>
                <w:tab w:val="left" w:pos="2571"/>
              </w:tabs>
              <w:spacing w:line="230" w:lineRule="atLeast"/>
              <w:ind w:left="107" w:right="96"/>
              <w:jc w:val="both"/>
              <w:rPr>
                <w:sz w:val="20"/>
              </w:rPr>
            </w:pPr>
            <w:r w:rsidRPr="001017D0">
              <w:rPr>
                <w:sz w:val="20"/>
              </w:rPr>
              <w:t xml:space="preserve">В Центрі здійснюється робота з проведення заходів, зокрема з професійної орієнтації, опанування трудових навичок, визначення їхніх можливостей щодо професійного навчання у відповідних навчальних закладах, центрах професійної реабілітації. Також, було проведено: консультації з профорієнтації; консультації з адаптації на робочому місці; навчальні заняття з фінансової грамотності, реабілітаційні заходи із застосуванням засобів інклюзивного туризму в умовах Київського зоологічного парку загальнодержавного значення, індивідуальні </w:t>
            </w:r>
            <w:bookmarkStart w:id="0" w:name="_GoBack"/>
            <w:bookmarkEnd w:id="0"/>
            <w:r w:rsidRPr="001017D0">
              <w:rPr>
                <w:sz w:val="20"/>
              </w:rPr>
              <w:t xml:space="preserve">консультації психолога; заходи з соціокультурної реабілітації, корекційно-відновлювані та розвивальні заняття, консультативна робота з відвідувачами Центру щодо освоєння освітніх серіалів на Національній онлайн-платформі з цифрової грамотності Міністерства цифрової трансформації України, заняття з музикотерапії; майстер-класи з дизайну і моделювання, </w:t>
            </w:r>
            <w:proofErr w:type="spellStart"/>
            <w:r w:rsidRPr="001017D0">
              <w:rPr>
                <w:sz w:val="20"/>
              </w:rPr>
              <w:t>кулінаротерапія</w:t>
            </w:r>
            <w:proofErr w:type="spellEnd"/>
            <w:r w:rsidRPr="001017D0">
              <w:rPr>
                <w:sz w:val="20"/>
              </w:rPr>
              <w:t xml:space="preserve">; розпочато спільний профорієнтаційний </w:t>
            </w:r>
            <w:proofErr w:type="spellStart"/>
            <w:r w:rsidRPr="001017D0">
              <w:rPr>
                <w:sz w:val="20"/>
              </w:rPr>
              <w:t>проєкт</w:t>
            </w:r>
            <w:proofErr w:type="spellEnd"/>
            <w:r w:rsidRPr="001017D0">
              <w:rPr>
                <w:sz w:val="20"/>
              </w:rPr>
              <w:t xml:space="preserve"> з компанією «Грибник» щодо створення «Грибної ферми» у Центрі, де відвідувачі мають можливість опанувати навички вирощування печериць та за бажання відкрити власну справу.</w:t>
            </w:r>
          </w:p>
          <w:p w:rsidR="00497FAB" w:rsidRDefault="001017D0" w:rsidP="001017D0">
            <w:pPr>
              <w:pStyle w:val="TableParagraph"/>
              <w:tabs>
                <w:tab w:val="left" w:pos="1231"/>
                <w:tab w:val="left" w:pos="2571"/>
              </w:tabs>
              <w:spacing w:line="230" w:lineRule="atLeast"/>
              <w:ind w:left="107" w:right="96"/>
              <w:jc w:val="both"/>
              <w:rPr>
                <w:sz w:val="14"/>
              </w:rPr>
            </w:pPr>
            <w:r w:rsidRPr="001017D0">
              <w:rPr>
                <w:sz w:val="20"/>
              </w:rPr>
              <w:t>Здійснюється волонтерська допомога ЗСУ в частині виготовлення окопних свічок (пальників), пошиття кровоспинних бандажів та білизни. Отримали послуги з професійної та трудової реабілітації 332 особи.</w:t>
            </w:r>
          </w:p>
        </w:tc>
        <w:tc>
          <w:tcPr>
            <w:tcW w:w="2835" w:type="dxa"/>
          </w:tcPr>
          <w:p w:rsidR="00497FAB" w:rsidRDefault="00497FAB">
            <w:pPr>
              <w:pStyle w:val="TableParagraph"/>
              <w:rPr>
                <w:sz w:val="14"/>
              </w:rPr>
            </w:pPr>
          </w:p>
        </w:tc>
      </w:tr>
      <w:tr w:rsidR="00497FAB" w:rsidTr="004D2DB3">
        <w:trPr>
          <w:trHeight w:val="229"/>
        </w:trPr>
        <w:tc>
          <w:tcPr>
            <w:tcW w:w="15913" w:type="dxa"/>
            <w:gridSpan w:val="7"/>
          </w:tcPr>
          <w:p w:rsidR="00497FAB" w:rsidRDefault="008F19A1">
            <w:pPr>
              <w:pStyle w:val="TableParagraph"/>
              <w:spacing w:line="210" w:lineRule="exact"/>
              <w:ind w:left="108"/>
              <w:rPr>
                <w:sz w:val="20"/>
              </w:rPr>
            </w:pPr>
            <w:r>
              <w:rPr>
                <w:sz w:val="20"/>
              </w:rPr>
              <w:t>Завдання 1.3. Посилення співпраці з приватним сектором, неприбутковими та неурядовими організаціями</w:t>
            </w:r>
          </w:p>
        </w:tc>
      </w:tr>
      <w:tr w:rsidR="007561DD" w:rsidTr="007561DD">
        <w:trPr>
          <w:trHeight w:val="229"/>
        </w:trPr>
        <w:tc>
          <w:tcPr>
            <w:tcW w:w="746" w:type="dxa"/>
            <w:gridSpan w:val="2"/>
          </w:tcPr>
          <w:p w:rsidR="007561DD" w:rsidRDefault="007561DD">
            <w:pPr>
              <w:pStyle w:val="TableParagraph"/>
              <w:spacing w:line="210" w:lineRule="exact"/>
              <w:ind w:left="108"/>
              <w:rPr>
                <w:sz w:val="20"/>
              </w:rPr>
            </w:pPr>
            <w:r>
              <w:rPr>
                <w:sz w:val="20"/>
              </w:rPr>
              <w:t>87</w:t>
            </w:r>
          </w:p>
        </w:tc>
        <w:tc>
          <w:tcPr>
            <w:tcW w:w="3118" w:type="dxa"/>
          </w:tcPr>
          <w:p w:rsidR="007561DD" w:rsidRDefault="0063164F">
            <w:pPr>
              <w:pStyle w:val="TableParagraph"/>
              <w:spacing w:line="210" w:lineRule="exact"/>
              <w:ind w:left="108"/>
              <w:rPr>
                <w:sz w:val="20"/>
              </w:rPr>
            </w:pPr>
            <w:r w:rsidRPr="0044044F">
              <w:rPr>
                <w:rFonts w:eastAsia="Arial,Bold"/>
                <w:sz w:val="20"/>
                <w:szCs w:val="20"/>
              </w:rPr>
              <w:t>Забезпечення партнерської взаємодії міської влади та громадського секторів у розвитку соціальної сфери</w:t>
            </w:r>
          </w:p>
        </w:tc>
        <w:tc>
          <w:tcPr>
            <w:tcW w:w="1985" w:type="dxa"/>
            <w:gridSpan w:val="2"/>
          </w:tcPr>
          <w:p w:rsidR="007561DD" w:rsidRDefault="007561DD">
            <w:pPr>
              <w:pStyle w:val="TableParagraph"/>
              <w:spacing w:line="210" w:lineRule="exact"/>
              <w:ind w:left="108"/>
              <w:rPr>
                <w:sz w:val="20"/>
              </w:rPr>
            </w:pPr>
          </w:p>
        </w:tc>
        <w:tc>
          <w:tcPr>
            <w:tcW w:w="7229" w:type="dxa"/>
          </w:tcPr>
          <w:p w:rsidR="0063164F" w:rsidRPr="0044044F" w:rsidRDefault="0063164F" w:rsidP="0063164F">
            <w:pPr>
              <w:jc w:val="both"/>
              <w:rPr>
                <w:sz w:val="20"/>
                <w:szCs w:val="20"/>
              </w:rPr>
            </w:pPr>
            <w:r w:rsidRPr="0044044F">
              <w:rPr>
                <w:sz w:val="20"/>
                <w:szCs w:val="20"/>
              </w:rPr>
              <w:t xml:space="preserve">Міська цільова програма «Соціальне партнерство» на 2022-2024 роки затверджена рішенням Київської міської ради від 07.10.2021 № 2725/2766. </w:t>
            </w:r>
          </w:p>
          <w:p w:rsidR="0063164F" w:rsidRPr="0044044F" w:rsidRDefault="0063164F" w:rsidP="0063164F">
            <w:pPr>
              <w:jc w:val="both"/>
              <w:rPr>
                <w:sz w:val="20"/>
                <w:szCs w:val="20"/>
              </w:rPr>
            </w:pPr>
            <w:r w:rsidRPr="0044044F">
              <w:rPr>
                <w:sz w:val="20"/>
                <w:szCs w:val="20"/>
              </w:rPr>
              <w:t xml:space="preserve">У 2022 році Департаментом соціальної політики передбачено надання фінансової підтримки громадським об’єднанням на реалізацію розроблених ними </w:t>
            </w:r>
            <w:proofErr w:type="spellStart"/>
            <w:r w:rsidRPr="0044044F">
              <w:rPr>
                <w:sz w:val="20"/>
                <w:szCs w:val="20"/>
              </w:rPr>
              <w:t>проєктів</w:t>
            </w:r>
            <w:proofErr w:type="spellEnd"/>
            <w:r w:rsidRPr="0044044F">
              <w:rPr>
                <w:sz w:val="20"/>
                <w:szCs w:val="20"/>
              </w:rPr>
              <w:t xml:space="preserve">, а саме: </w:t>
            </w:r>
          </w:p>
          <w:p w:rsidR="0063164F" w:rsidRPr="0044044F" w:rsidRDefault="0063164F" w:rsidP="0063164F">
            <w:pPr>
              <w:jc w:val="both"/>
              <w:rPr>
                <w:sz w:val="20"/>
                <w:szCs w:val="20"/>
              </w:rPr>
            </w:pPr>
            <w:r w:rsidRPr="0044044F">
              <w:rPr>
                <w:sz w:val="20"/>
                <w:szCs w:val="20"/>
              </w:rPr>
              <w:t xml:space="preserve">- 22 громадським об’єднанням осіб з інвалідністю на реалізацію 33  </w:t>
            </w:r>
            <w:proofErr w:type="spellStart"/>
            <w:r w:rsidRPr="0044044F">
              <w:rPr>
                <w:sz w:val="20"/>
                <w:szCs w:val="20"/>
              </w:rPr>
              <w:t>проєктів</w:t>
            </w:r>
            <w:proofErr w:type="spellEnd"/>
            <w:r w:rsidRPr="0044044F">
              <w:rPr>
                <w:sz w:val="20"/>
                <w:szCs w:val="20"/>
              </w:rPr>
              <w:t xml:space="preserve"> на суму 6 264,5 тис. грн., </w:t>
            </w:r>
          </w:p>
          <w:p w:rsidR="0063164F" w:rsidRPr="0044044F" w:rsidRDefault="0063164F" w:rsidP="0063164F">
            <w:pPr>
              <w:jc w:val="both"/>
              <w:rPr>
                <w:sz w:val="20"/>
                <w:szCs w:val="20"/>
              </w:rPr>
            </w:pPr>
            <w:r w:rsidRPr="0044044F">
              <w:rPr>
                <w:sz w:val="20"/>
                <w:szCs w:val="20"/>
              </w:rPr>
              <w:t xml:space="preserve">- 21 громадському об’єднанню ветеранів на реалізацію 27 </w:t>
            </w:r>
            <w:proofErr w:type="spellStart"/>
            <w:r w:rsidRPr="0044044F">
              <w:rPr>
                <w:sz w:val="20"/>
                <w:szCs w:val="20"/>
              </w:rPr>
              <w:t>проєктів</w:t>
            </w:r>
            <w:proofErr w:type="spellEnd"/>
            <w:r w:rsidRPr="0044044F">
              <w:rPr>
                <w:sz w:val="20"/>
                <w:szCs w:val="20"/>
              </w:rPr>
              <w:t xml:space="preserve"> на суму 5 125,5 </w:t>
            </w:r>
            <w:proofErr w:type="spellStart"/>
            <w:r w:rsidRPr="0044044F">
              <w:rPr>
                <w:sz w:val="20"/>
                <w:szCs w:val="20"/>
              </w:rPr>
              <w:t>тис.грн</w:t>
            </w:r>
            <w:proofErr w:type="spellEnd"/>
            <w:r w:rsidRPr="0044044F">
              <w:rPr>
                <w:sz w:val="20"/>
                <w:szCs w:val="20"/>
              </w:rPr>
              <w:t xml:space="preserve">.; </w:t>
            </w:r>
          </w:p>
          <w:p w:rsidR="0063164F" w:rsidRPr="0044044F" w:rsidRDefault="0063164F" w:rsidP="0063164F">
            <w:pPr>
              <w:jc w:val="both"/>
              <w:rPr>
                <w:sz w:val="20"/>
                <w:szCs w:val="20"/>
              </w:rPr>
            </w:pPr>
            <w:r w:rsidRPr="0044044F">
              <w:rPr>
                <w:sz w:val="20"/>
                <w:szCs w:val="20"/>
              </w:rPr>
              <w:t xml:space="preserve">- 18 громадським об’єднанням з питань забезпечення гендерної рівності  на реалізацію 22 </w:t>
            </w:r>
            <w:proofErr w:type="spellStart"/>
            <w:r w:rsidRPr="0044044F">
              <w:rPr>
                <w:sz w:val="20"/>
                <w:szCs w:val="20"/>
              </w:rPr>
              <w:t>проєктів</w:t>
            </w:r>
            <w:proofErr w:type="spellEnd"/>
            <w:r w:rsidRPr="0044044F">
              <w:rPr>
                <w:sz w:val="20"/>
                <w:szCs w:val="20"/>
              </w:rPr>
              <w:t xml:space="preserve"> на суму 3936,6 тис. грн. </w:t>
            </w:r>
          </w:p>
          <w:p w:rsidR="0063164F" w:rsidRPr="0044044F" w:rsidRDefault="0063164F" w:rsidP="0063164F">
            <w:pPr>
              <w:jc w:val="both"/>
              <w:rPr>
                <w:sz w:val="20"/>
                <w:szCs w:val="20"/>
              </w:rPr>
            </w:pPr>
            <w:r w:rsidRPr="0044044F">
              <w:rPr>
                <w:sz w:val="20"/>
                <w:szCs w:val="20"/>
              </w:rPr>
              <w:t xml:space="preserve">Також, в рамках виконання МЦП «Соціальне партнерство» на 2022-2024 роки районними управліннями соціального захисту населення заплановано фінансування 43 </w:t>
            </w:r>
            <w:proofErr w:type="spellStart"/>
            <w:r w:rsidRPr="0044044F">
              <w:rPr>
                <w:sz w:val="20"/>
                <w:szCs w:val="20"/>
              </w:rPr>
              <w:t>проєктів</w:t>
            </w:r>
            <w:proofErr w:type="spellEnd"/>
            <w:r w:rsidRPr="0044044F">
              <w:rPr>
                <w:sz w:val="20"/>
                <w:szCs w:val="20"/>
              </w:rPr>
              <w:t xml:space="preserve"> соціального спрямування, розроблених 41  громадським об’єднанням осіб з інвалідністю та ветеранів війни на загальну суму 6476,77 </w:t>
            </w:r>
            <w:proofErr w:type="spellStart"/>
            <w:r w:rsidRPr="0044044F">
              <w:rPr>
                <w:sz w:val="20"/>
                <w:szCs w:val="20"/>
              </w:rPr>
              <w:t>тис.грн</w:t>
            </w:r>
            <w:proofErr w:type="spellEnd"/>
            <w:r w:rsidRPr="0044044F">
              <w:rPr>
                <w:sz w:val="20"/>
                <w:szCs w:val="20"/>
              </w:rPr>
              <w:t xml:space="preserve">, та 12 </w:t>
            </w:r>
            <w:proofErr w:type="spellStart"/>
            <w:r w:rsidRPr="0044044F">
              <w:rPr>
                <w:sz w:val="20"/>
                <w:szCs w:val="20"/>
              </w:rPr>
              <w:t>проєктів</w:t>
            </w:r>
            <w:proofErr w:type="spellEnd"/>
            <w:r w:rsidRPr="0044044F">
              <w:rPr>
                <w:sz w:val="20"/>
                <w:szCs w:val="20"/>
              </w:rPr>
              <w:t xml:space="preserve"> соціального спрямування, направлених на  забезпечення рівних прав та можливостей жінок і чоловіків та надання соціальних послуг окремим верствам </w:t>
            </w:r>
            <w:r w:rsidRPr="0044044F">
              <w:rPr>
                <w:sz w:val="20"/>
                <w:szCs w:val="20"/>
              </w:rPr>
              <w:lastRenderedPageBreak/>
              <w:t xml:space="preserve">населення міста Києва у сумі  2350,42 тис. грн </w:t>
            </w:r>
          </w:p>
          <w:p w:rsidR="0063164F" w:rsidRPr="0044044F" w:rsidRDefault="0063164F" w:rsidP="0063164F">
            <w:pPr>
              <w:jc w:val="both"/>
              <w:rPr>
                <w:sz w:val="20"/>
                <w:szCs w:val="20"/>
              </w:rPr>
            </w:pPr>
            <w:r w:rsidRPr="0044044F">
              <w:rPr>
                <w:sz w:val="20"/>
                <w:szCs w:val="20"/>
              </w:rPr>
              <w:t xml:space="preserve">Протягом </w:t>
            </w:r>
            <w:r>
              <w:rPr>
                <w:sz w:val="20"/>
                <w:szCs w:val="20"/>
              </w:rPr>
              <w:t>9 місяців</w:t>
            </w:r>
            <w:r w:rsidRPr="0044044F">
              <w:rPr>
                <w:sz w:val="20"/>
                <w:szCs w:val="20"/>
              </w:rPr>
              <w:t xml:space="preserve"> 2022 року районними управліннями соціального захисту населення  частково профінансовано </w:t>
            </w:r>
            <w:r>
              <w:rPr>
                <w:sz w:val="20"/>
                <w:szCs w:val="20"/>
              </w:rPr>
              <w:t>4</w:t>
            </w:r>
            <w:r w:rsidRPr="0044044F">
              <w:rPr>
                <w:sz w:val="20"/>
                <w:szCs w:val="20"/>
              </w:rPr>
              <w:t xml:space="preserve"> громадськ</w:t>
            </w:r>
            <w:r>
              <w:rPr>
                <w:sz w:val="20"/>
                <w:szCs w:val="20"/>
              </w:rPr>
              <w:t>і</w:t>
            </w:r>
            <w:r w:rsidRPr="0044044F">
              <w:rPr>
                <w:sz w:val="20"/>
                <w:szCs w:val="20"/>
              </w:rPr>
              <w:t xml:space="preserve"> об’єднання ветеранів на загальну суму </w:t>
            </w:r>
            <w:r>
              <w:rPr>
                <w:sz w:val="20"/>
                <w:szCs w:val="20"/>
              </w:rPr>
              <w:t>96,6</w:t>
            </w:r>
            <w:r w:rsidRPr="0044044F">
              <w:rPr>
                <w:sz w:val="20"/>
                <w:szCs w:val="20"/>
              </w:rPr>
              <w:t xml:space="preserve"> тис. грн для реалізації 4 </w:t>
            </w:r>
            <w:proofErr w:type="spellStart"/>
            <w:r w:rsidRPr="0044044F">
              <w:rPr>
                <w:sz w:val="20"/>
                <w:szCs w:val="20"/>
              </w:rPr>
              <w:t>проєктів</w:t>
            </w:r>
            <w:proofErr w:type="spellEnd"/>
            <w:r w:rsidRPr="0044044F">
              <w:rPr>
                <w:sz w:val="20"/>
                <w:szCs w:val="20"/>
              </w:rPr>
              <w:t xml:space="preserve">, а також 3 </w:t>
            </w:r>
            <w:proofErr w:type="spellStart"/>
            <w:r w:rsidRPr="0044044F">
              <w:rPr>
                <w:sz w:val="20"/>
                <w:szCs w:val="20"/>
              </w:rPr>
              <w:t>проєкти</w:t>
            </w:r>
            <w:proofErr w:type="spellEnd"/>
            <w:r w:rsidRPr="0044044F">
              <w:rPr>
                <w:sz w:val="20"/>
                <w:szCs w:val="20"/>
              </w:rPr>
              <w:t xml:space="preserve"> соціального спрямування, направлених на  забезпечення рівних прав та можливостей жінок і чоловіків та надання соціальних послуг окремим верствам населенн</w:t>
            </w:r>
            <w:r>
              <w:rPr>
                <w:sz w:val="20"/>
                <w:szCs w:val="20"/>
              </w:rPr>
              <w:t>я міста Києва на загальну суму 213,6</w:t>
            </w:r>
            <w:r w:rsidRPr="0044044F">
              <w:rPr>
                <w:sz w:val="20"/>
                <w:szCs w:val="20"/>
              </w:rPr>
              <w:t xml:space="preserve"> тис. грн.</w:t>
            </w:r>
          </w:p>
          <w:p w:rsidR="0063164F" w:rsidRPr="00507511" w:rsidRDefault="0063164F" w:rsidP="0063164F">
            <w:pPr>
              <w:jc w:val="both"/>
              <w:rPr>
                <w:sz w:val="20"/>
                <w:szCs w:val="20"/>
              </w:rPr>
            </w:pPr>
            <w:r w:rsidRPr="0044044F">
              <w:rPr>
                <w:sz w:val="20"/>
                <w:szCs w:val="20"/>
              </w:rPr>
              <w:t xml:space="preserve">  Департаментом соціальної політики виконавчого органу Київської міської ради (Київської міської державної адміністрації), районними управліннями соціального захисту населення  та за участі громадськості у 2022 році передбачено проведення заходів з нагоди відзначення 19 святкових, пам’ятних та історичних дат, пов’язаних з вшануванням та увічненням пам’яті ветеранів війни, жертв нацистських переслідувань, захистом незалежності, суверенітету та територіальної цілісності України, </w:t>
            </w:r>
            <w:r w:rsidRPr="00CF7AAD">
              <w:rPr>
                <w:sz w:val="20"/>
                <w:szCs w:val="20"/>
              </w:rPr>
              <w:t>вшанування пам’яті  загиблих</w:t>
            </w:r>
            <w:r w:rsidRPr="00507511">
              <w:rPr>
                <w:sz w:val="20"/>
                <w:szCs w:val="20"/>
              </w:rPr>
              <w:t xml:space="preserve"> захисників України. </w:t>
            </w:r>
          </w:p>
          <w:p w:rsidR="0063164F" w:rsidRPr="00507511" w:rsidRDefault="0063164F" w:rsidP="0063164F">
            <w:pPr>
              <w:spacing w:line="259" w:lineRule="auto"/>
              <w:jc w:val="both"/>
              <w:rPr>
                <w:color w:val="000000" w:themeColor="text1"/>
                <w:sz w:val="20"/>
                <w:szCs w:val="20"/>
                <w:u w:val="single"/>
                <w:shd w:val="clear" w:color="auto" w:fill="FFFFFF"/>
              </w:rPr>
            </w:pPr>
            <w:r w:rsidRPr="00507511">
              <w:rPr>
                <w:sz w:val="20"/>
                <w:szCs w:val="20"/>
              </w:rPr>
              <w:t xml:space="preserve">Протягом 9 місяців 2022 року Департаментом соціальної політики було проведено заходи до  Дня вшанування учасників бойових дій на території інших держав (15.02.2021), </w:t>
            </w:r>
            <w:r w:rsidRPr="00507511">
              <w:rPr>
                <w:color w:val="000000"/>
                <w:sz w:val="20"/>
                <w:szCs w:val="20"/>
              </w:rPr>
              <w:t xml:space="preserve">Дня Героїв Небесної Сотні (20.02.2022),   </w:t>
            </w:r>
            <w:r w:rsidRPr="00507511">
              <w:rPr>
                <w:sz w:val="20"/>
                <w:szCs w:val="20"/>
              </w:rPr>
              <w:t xml:space="preserve">Дня пам’яті захисників України, які загинули в боротьбі за незалежність, суверенітет і територіальну цілісність України </w:t>
            </w:r>
            <w:r w:rsidRPr="00507511">
              <w:rPr>
                <w:color w:val="000000"/>
                <w:sz w:val="20"/>
                <w:szCs w:val="20"/>
              </w:rPr>
              <w:t xml:space="preserve">(29.08.2022), </w:t>
            </w:r>
            <w:r w:rsidRPr="00507511">
              <w:rPr>
                <w:rFonts w:eastAsiaTheme="minorHAnsi"/>
                <w:color w:val="000000" w:themeColor="text1"/>
                <w:sz w:val="20"/>
                <w:szCs w:val="20"/>
                <w:lang w:eastAsia="en-US"/>
              </w:rPr>
              <w:fldChar w:fldCharType="begin"/>
            </w:r>
            <w:r w:rsidRPr="00507511">
              <w:rPr>
                <w:color w:val="000000" w:themeColor="text1"/>
                <w:sz w:val="20"/>
                <w:szCs w:val="20"/>
              </w:rPr>
              <w:instrText xml:space="preserve"> HYPERLINK "https://psjust.gov.ua/post_news/%D0%BC%D1%96%D0%B6%D0%BD%D0%B0%D1%80%D0%BE%D0%B4%D0%BD%D0%B8%D0%B9-%D0%B4%D0%B5%D0%BD%D1%8C-%D0%B6%D0%B5%D1%80%D1%82%D0%B2-%D0%BD%D0%B0%D1%81%D0%B8%D0%BB%D1%8C%D0%BD%D0%B8%D1%86%D1%8C%D0%BA%D0%B8/" </w:instrText>
            </w:r>
            <w:r w:rsidRPr="00507511">
              <w:rPr>
                <w:rFonts w:eastAsiaTheme="minorHAnsi"/>
                <w:color w:val="000000" w:themeColor="text1"/>
                <w:sz w:val="20"/>
                <w:szCs w:val="20"/>
                <w:lang w:eastAsia="en-US"/>
              </w:rPr>
              <w:fldChar w:fldCharType="separate"/>
            </w:r>
          </w:p>
          <w:p w:rsidR="0063164F" w:rsidRPr="00507511" w:rsidRDefault="0063164F" w:rsidP="0063164F">
            <w:pPr>
              <w:jc w:val="both"/>
              <w:outlineLvl w:val="2"/>
              <w:rPr>
                <w:bCs/>
                <w:sz w:val="20"/>
                <w:szCs w:val="20"/>
                <w:lang w:eastAsia="ko-KR"/>
              </w:rPr>
            </w:pPr>
            <w:r w:rsidRPr="00507511">
              <w:rPr>
                <w:color w:val="000000" w:themeColor="text1"/>
                <w:sz w:val="20"/>
                <w:szCs w:val="20"/>
                <w:shd w:val="clear" w:color="auto" w:fill="FFFFFF"/>
                <w:lang w:eastAsia="ko-KR"/>
              </w:rPr>
              <w:t>Міжнародного дня жертв насильницьких зникнень (30.08.2022),</w:t>
            </w:r>
            <w:r w:rsidRPr="00507511">
              <w:rPr>
                <w:bCs/>
                <w:color w:val="000000" w:themeColor="text1"/>
                <w:sz w:val="20"/>
                <w:szCs w:val="20"/>
                <w:lang w:eastAsia="ko-KR"/>
              </w:rPr>
              <w:fldChar w:fldCharType="end"/>
            </w:r>
            <w:r w:rsidRPr="00507511">
              <w:rPr>
                <w:bCs/>
                <w:color w:val="000000" w:themeColor="text1"/>
                <w:sz w:val="20"/>
                <w:szCs w:val="20"/>
                <w:lang w:eastAsia="ko-KR"/>
              </w:rPr>
              <w:t xml:space="preserve"> </w:t>
            </w:r>
            <w:r w:rsidRPr="00507511">
              <w:rPr>
                <w:bCs/>
                <w:color w:val="000000"/>
                <w:sz w:val="20"/>
                <w:szCs w:val="20"/>
                <w:lang w:eastAsia="ko-KR"/>
              </w:rPr>
              <w:t>а</w:t>
            </w:r>
            <w:r w:rsidRPr="00507511">
              <w:rPr>
                <w:bCs/>
                <w:sz w:val="20"/>
                <w:szCs w:val="20"/>
                <w:lang w:eastAsia="ko-KR"/>
              </w:rPr>
              <w:t xml:space="preserve"> також до Дня Перемоги над нацизмом у Другій світовій війні було встановлено вінок до могили Невідомого солдата у парку Вічної Слави. Фактичне фінансування проведених</w:t>
            </w:r>
            <w:r w:rsidRPr="00507511">
              <w:rPr>
                <w:b/>
                <w:bCs/>
                <w:sz w:val="20"/>
                <w:szCs w:val="20"/>
                <w:lang w:eastAsia="ko-KR"/>
              </w:rPr>
              <w:t xml:space="preserve"> </w:t>
            </w:r>
            <w:r w:rsidRPr="00507511">
              <w:rPr>
                <w:bCs/>
                <w:sz w:val="20"/>
                <w:szCs w:val="20"/>
                <w:lang w:eastAsia="ko-KR"/>
              </w:rPr>
              <w:t>заходів складає 282,8 тис. грн.</w:t>
            </w:r>
          </w:p>
          <w:p w:rsidR="0063164F" w:rsidRPr="00507511" w:rsidRDefault="0063164F" w:rsidP="0063164F">
            <w:pPr>
              <w:spacing w:line="259" w:lineRule="auto"/>
              <w:ind w:firstLine="390"/>
              <w:jc w:val="both"/>
              <w:rPr>
                <w:sz w:val="20"/>
                <w:szCs w:val="20"/>
              </w:rPr>
            </w:pPr>
            <w:r w:rsidRPr="00507511">
              <w:rPr>
                <w:sz w:val="20"/>
                <w:szCs w:val="20"/>
              </w:rPr>
              <w:t>В рамках виконання МЦП «Соціальне партнерство» на 2022-2024 роки районними управліннями соціального захисту населення проведено 17 заходів до відзначення святкових, пам’ятних та історичних дат на загальну суму 403,2 тис. грн.</w:t>
            </w:r>
          </w:p>
          <w:p w:rsidR="0063164F" w:rsidRPr="00507511" w:rsidRDefault="0063164F" w:rsidP="0063164F">
            <w:pPr>
              <w:spacing w:line="259" w:lineRule="auto"/>
              <w:ind w:firstLine="354"/>
              <w:jc w:val="both"/>
              <w:rPr>
                <w:sz w:val="20"/>
                <w:szCs w:val="20"/>
              </w:rPr>
            </w:pPr>
            <w:r w:rsidRPr="00507511">
              <w:rPr>
                <w:sz w:val="20"/>
                <w:szCs w:val="20"/>
              </w:rPr>
              <w:t xml:space="preserve">За 9 місяців 2022 року опрацьовано 68 звітів підприємств громадських організацій осіб з інвалідністю. Щоквартальна зведена інформація про дохід від операційної діяльності та інформація щодо соціально-економічних показниках діяльності підприємств громадських організацій осіб з інвалідністю надана до Національної соціальної сервісної служби України.  Опрацьовано 6 заяв та пакетів документів громадських організацій осіб з інвалідністю щодо надання їх підприємствам дозволу на право користування пільгами з оподаткування, проведені аналізи діяльності підприємств.  Підготовлено та проведено 1 засідання Комісії з розгляду документів щодо надання дозволів підприємствам та організаціям ГОІ на право користування пільгами з оподаткування, отримання позик, фінансової допомоги та дотацій та оформлено відповідний протокол засідання. </w:t>
            </w:r>
          </w:p>
          <w:p w:rsidR="0063164F" w:rsidRPr="00507511" w:rsidRDefault="0063164F" w:rsidP="0063164F">
            <w:pPr>
              <w:spacing w:line="259" w:lineRule="auto"/>
              <w:jc w:val="both"/>
              <w:rPr>
                <w:sz w:val="20"/>
                <w:szCs w:val="20"/>
                <w:highlight w:val="yellow"/>
              </w:rPr>
            </w:pPr>
            <w:r w:rsidRPr="00507511">
              <w:rPr>
                <w:sz w:val="20"/>
                <w:szCs w:val="20"/>
              </w:rPr>
              <w:lastRenderedPageBreak/>
              <w:t>Підготовлено та видано 1 розпорядження виконавчого органу Київської міської ради (Київської міської державної адміністрації) щодо надання та відмови у наданні дозволів підприємствам громадських організацій осіб з інвалідністю, доцільності надання таких дозволів, та доцільності надання фінансової допомоги, відповідно до якого для 17 підприємств та організацій надані дозволи на право користування пільгами з оподаткування. Сформовані відповідні справи підприємств. Звітність щодо наданих пільг щоквартально надається до Національної соціальної сервісної служби України. З урахуванням постанови КМУ від 19.03.2022 № 323 «</w:t>
            </w:r>
            <w:r w:rsidRPr="00507511">
              <w:rPr>
                <w:bCs/>
                <w:color w:val="333333"/>
                <w:sz w:val="20"/>
                <w:szCs w:val="20"/>
                <w:shd w:val="clear" w:color="auto" w:fill="FFFFFF"/>
              </w:rPr>
              <w:t>Деякі питання користування пільгами з оподаткування для підприємств та організацій громадських об’єднань осіб з інвалідністю в умовах воєнного стану на території України» станом на 01.10.2022 право на дозвіл користування пільгами з оподаткування надано для 39 підприємств громадських об’єднань осіб з інвалідністю.</w:t>
            </w:r>
          </w:p>
          <w:p w:rsidR="0063164F" w:rsidRPr="0063164F" w:rsidRDefault="0063164F" w:rsidP="0063164F">
            <w:pPr>
              <w:spacing w:line="259" w:lineRule="auto"/>
              <w:jc w:val="both"/>
              <w:rPr>
                <w:bCs/>
                <w:color w:val="333333"/>
                <w:sz w:val="20"/>
                <w:szCs w:val="20"/>
                <w:shd w:val="clear" w:color="auto" w:fill="FFFFFF"/>
              </w:rPr>
            </w:pPr>
            <w:r w:rsidRPr="00507511">
              <w:rPr>
                <w:sz w:val="20"/>
                <w:szCs w:val="20"/>
              </w:rPr>
              <w:t xml:space="preserve">Станом на 01 жовтня 2022 року опрацьовано 26 заяв та пакетів документів щодо визнання вантажів вагою до 3-х тон гуманітарною допомогою. Підготовлено та проведено 3 засідань Робочої групи з питань гуманітарної допомоги щодо визнання вантажу вагою до 3-х тон, гуманітарною допомогою, оформлено </w:t>
            </w:r>
            <w:r w:rsidRPr="0063164F">
              <w:rPr>
                <w:bCs/>
                <w:color w:val="333333"/>
                <w:sz w:val="20"/>
                <w:szCs w:val="20"/>
                <w:shd w:val="clear" w:color="auto" w:fill="FFFFFF"/>
              </w:rPr>
              <w:t>відповідні протоколи. Підготовлено та видано 6 розпоряджень КМДА щодо визнання вантажів вагою до 3-х тон гуманітарною допомогою.</w:t>
            </w:r>
          </w:p>
          <w:p w:rsidR="007561DD" w:rsidRDefault="0063164F" w:rsidP="0063164F">
            <w:pPr>
              <w:spacing w:line="259" w:lineRule="auto"/>
              <w:jc w:val="both"/>
              <w:rPr>
                <w:sz w:val="20"/>
              </w:rPr>
            </w:pPr>
            <w:r w:rsidRPr="0063164F">
              <w:rPr>
                <w:bCs/>
                <w:color w:val="333333"/>
                <w:sz w:val="20"/>
                <w:szCs w:val="20"/>
                <w:shd w:val="clear" w:color="auto" w:fill="FFFFFF"/>
              </w:rPr>
              <w:t>Проводиться облік розподілу гуманітарної допомоги, яку отримано згідно рішень спеціально уповноважених державних органів з питань гуманітарної допомоги. З початку року опрацьовано 246 звітів щодо розподілу гуманітарних вантажів. Ведеться облік розподілу гуманітарної допомоги, яку отримано відповідно до постанови КМУ від 01.03.2022 № 174 «</w:t>
            </w:r>
            <w:r w:rsidRPr="00507511">
              <w:rPr>
                <w:bCs/>
                <w:color w:val="333333"/>
                <w:sz w:val="20"/>
                <w:szCs w:val="20"/>
                <w:shd w:val="clear" w:color="auto" w:fill="FFFFFF"/>
              </w:rPr>
              <w:t>Деякі питання пропуску гуманітарної допомоги через митний кордон України в умовах воєнного стану». Підготовлено 316 запитів до отримувачів гуманітарної допомоги, опрацьовано 83 звіти.</w:t>
            </w:r>
          </w:p>
        </w:tc>
        <w:tc>
          <w:tcPr>
            <w:tcW w:w="2835" w:type="dxa"/>
          </w:tcPr>
          <w:p w:rsidR="0063164F" w:rsidRPr="0044044F" w:rsidRDefault="0063164F" w:rsidP="0063164F">
            <w:pPr>
              <w:jc w:val="both"/>
              <w:rPr>
                <w:sz w:val="20"/>
                <w:szCs w:val="20"/>
              </w:rPr>
            </w:pPr>
            <w:r w:rsidRPr="0044044F">
              <w:rPr>
                <w:sz w:val="20"/>
                <w:szCs w:val="20"/>
              </w:rPr>
              <w:lastRenderedPageBreak/>
              <w:t>Фінансування громадських об’єднань призупинено в зв’язку з введенням воєнного стану на території України, відповідно до Указу Президента України від 24.02.2022  № 64/2022</w:t>
            </w:r>
          </w:p>
          <w:p w:rsidR="0063164F" w:rsidRPr="0044044F" w:rsidRDefault="0063164F" w:rsidP="0063164F">
            <w:pPr>
              <w:jc w:val="both"/>
              <w:rPr>
                <w:sz w:val="20"/>
                <w:szCs w:val="20"/>
              </w:rPr>
            </w:pPr>
            <w:r w:rsidRPr="0044044F">
              <w:rPr>
                <w:sz w:val="20"/>
                <w:szCs w:val="20"/>
              </w:rPr>
              <w:t xml:space="preserve">Частина заходів, які були передбачені </w:t>
            </w:r>
            <w:r>
              <w:rPr>
                <w:sz w:val="20"/>
                <w:szCs w:val="20"/>
              </w:rPr>
              <w:t>протягом січня-вересня</w:t>
            </w:r>
            <w:r w:rsidRPr="0044044F">
              <w:rPr>
                <w:sz w:val="20"/>
                <w:szCs w:val="20"/>
              </w:rPr>
              <w:t xml:space="preserve"> 2022 року не були проведені  у зв’язку з введенням воєнного стану на території України, відповідно до Указу Президента України від 24.02.2022  № 64/2022 </w:t>
            </w:r>
          </w:p>
          <w:p w:rsidR="0063164F" w:rsidRPr="0044044F" w:rsidRDefault="0063164F" w:rsidP="0063164F">
            <w:pPr>
              <w:pStyle w:val="Standard"/>
              <w:spacing w:after="0" w:line="240" w:lineRule="auto"/>
              <w:ind w:firstLine="106"/>
              <w:jc w:val="both"/>
              <w:rPr>
                <w:rFonts w:ascii="Times New Roman" w:hAnsi="Times New Roman" w:cs="Times New Roman"/>
                <w:color w:val="000000"/>
                <w:sz w:val="20"/>
                <w:szCs w:val="20"/>
              </w:rPr>
            </w:pPr>
            <w:r w:rsidRPr="0044044F">
              <w:rPr>
                <w:rFonts w:ascii="Times New Roman" w:hAnsi="Times New Roman" w:cs="Times New Roman"/>
                <w:color w:val="000000"/>
                <w:sz w:val="20"/>
                <w:szCs w:val="20"/>
              </w:rPr>
              <w:t xml:space="preserve">У зв’язку з воєнним станом на території Україні, який введено </w:t>
            </w:r>
            <w:r w:rsidRPr="0044044F">
              <w:rPr>
                <w:rFonts w:ascii="Times New Roman" w:hAnsi="Times New Roman" w:cs="Times New Roman"/>
                <w:sz w:val="20"/>
                <w:szCs w:val="20"/>
              </w:rPr>
              <w:t xml:space="preserve">відповідно до Указу Президента </w:t>
            </w:r>
            <w:r w:rsidRPr="0044044F">
              <w:rPr>
                <w:rFonts w:ascii="Times New Roman" w:hAnsi="Times New Roman" w:cs="Times New Roman"/>
                <w:sz w:val="20"/>
                <w:szCs w:val="20"/>
              </w:rPr>
              <w:lastRenderedPageBreak/>
              <w:t>України від 24.02.2022</w:t>
            </w:r>
            <w:r>
              <w:rPr>
                <w:rFonts w:ascii="Times New Roman" w:hAnsi="Times New Roman" w:cs="Times New Roman"/>
                <w:sz w:val="20"/>
                <w:szCs w:val="20"/>
              </w:rPr>
              <w:t xml:space="preserve"> </w:t>
            </w:r>
            <w:r w:rsidRPr="0044044F">
              <w:rPr>
                <w:rFonts w:ascii="Times New Roman" w:hAnsi="Times New Roman" w:cs="Times New Roman"/>
                <w:sz w:val="20"/>
                <w:szCs w:val="20"/>
              </w:rPr>
              <w:t xml:space="preserve">№ 64/2022 «Про введення воєнного стану в Україні» </w:t>
            </w:r>
            <w:r w:rsidRPr="0044044F">
              <w:rPr>
                <w:rFonts w:ascii="Times New Roman" w:hAnsi="Times New Roman" w:cs="Times New Roman"/>
                <w:color w:val="000000"/>
                <w:sz w:val="20"/>
                <w:szCs w:val="20"/>
              </w:rPr>
              <w:t xml:space="preserve">засідання </w:t>
            </w:r>
            <w:r w:rsidRPr="0044044F">
              <w:rPr>
                <w:rFonts w:ascii="Times New Roman" w:hAnsi="Times New Roman" w:cs="Times New Roman"/>
                <w:sz w:val="20"/>
                <w:szCs w:val="20"/>
              </w:rPr>
              <w:t>Комісії з розгляду документів щодо надання дозволів підприємствам та організаціям ГОІ на право користування пільгами з оподаткування, отримання позик, фінансової допомоги та дотацій</w:t>
            </w:r>
            <w:r w:rsidRPr="0044044F">
              <w:rPr>
                <w:rFonts w:ascii="Times New Roman" w:hAnsi="Times New Roman" w:cs="Times New Roman"/>
                <w:color w:val="000000"/>
                <w:sz w:val="20"/>
                <w:szCs w:val="20"/>
              </w:rPr>
              <w:t xml:space="preserve"> з березня 2022 року не проводились.</w:t>
            </w:r>
          </w:p>
          <w:p w:rsidR="0063164F" w:rsidRPr="0044044F" w:rsidRDefault="0063164F" w:rsidP="0063164F">
            <w:pPr>
              <w:ind w:firstLine="106"/>
              <w:jc w:val="both"/>
              <w:rPr>
                <w:color w:val="1D1D1B"/>
                <w:sz w:val="20"/>
                <w:szCs w:val="20"/>
                <w:shd w:val="clear" w:color="auto" w:fill="FFFFFF"/>
              </w:rPr>
            </w:pPr>
            <w:r w:rsidRPr="0044044F">
              <w:rPr>
                <w:sz w:val="20"/>
                <w:szCs w:val="20"/>
              </w:rPr>
              <w:t>Відповідно до постанови Кабінету Міністрів України № 165 від 28.02.2022 «</w:t>
            </w:r>
            <w:r w:rsidRPr="0044044F">
              <w:rPr>
                <w:bCs/>
                <w:sz w:val="20"/>
                <w:szCs w:val="20"/>
              </w:rPr>
              <w:t>Деякі питання реалізації прав, свобод і законних інтересів фізичних та юридичних осіб» при</w:t>
            </w:r>
            <w:r w:rsidRPr="0044044F">
              <w:rPr>
                <w:color w:val="1D1D1B"/>
                <w:sz w:val="20"/>
                <w:szCs w:val="20"/>
                <w:shd w:val="clear" w:color="auto" w:fill="FFFFFF"/>
              </w:rPr>
              <w:t>зупинено строки надання адміністративних послуг суб’єктами їх надання та видачу дозвільними органами документів дозвільного характеру на час воєнного стану в Україні.</w:t>
            </w:r>
          </w:p>
          <w:p w:rsidR="0063164F" w:rsidRPr="0044044F" w:rsidRDefault="0063164F" w:rsidP="0063164F">
            <w:pPr>
              <w:jc w:val="both"/>
              <w:rPr>
                <w:sz w:val="20"/>
                <w:szCs w:val="20"/>
              </w:rPr>
            </w:pPr>
          </w:p>
          <w:p w:rsidR="007561DD" w:rsidRDefault="007561DD">
            <w:pPr>
              <w:pStyle w:val="TableParagraph"/>
              <w:spacing w:line="210" w:lineRule="exact"/>
              <w:ind w:left="108"/>
              <w:rPr>
                <w:sz w:val="20"/>
              </w:rPr>
            </w:pPr>
          </w:p>
        </w:tc>
      </w:tr>
    </w:tbl>
    <w:p w:rsidR="00E217D3" w:rsidRDefault="00E217D3" w:rsidP="00E217D3">
      <w:pPr>
        <w:rPr>
          <w:color w:val="000000"/>
          <w:sz w:val="24"/>
          <w:szCs w:val="24"/>
        </w:rPr>
      </w:pPr>
    </w:p>
    <w:p w:rsidR="00E217D3" w:rsidRDefault="00E217D3" w:rsidP="00E217D3">
      <w:pPr>
        <w:rPr>
          <w:color w:val="000000"/>
          <w:sz w:val="24"/>
          <w:szCs w:val="24"/>
        </w:rPr>
      </w:pPr>
    </w:p>
    <w:p w:rsidR="00E217D3" w:rsidRDefault="00E217D3" w:rsidP="00E217D3">
      <w:pPr>
        <w:rPr>
          <w:color w:val="000000"/>
          <w:sz w:val="24"/>
          <w:szCs w:val="24"/>
        </w:rPr>
      </w:pPr>
    </w:p>
    <w:p w:rsidR="00E217D3" w:rsidRDefault="00E217D3" w:rsidP="00E217D3">
      <w:pPr>
        <w:rPr>
          <w:color w:val="000000"/>
          <w:sz w:val="24"/>
          <w:szCs w:val="24"/>
        </w:rPr>
      </w:pPr>
      <w:r>
        <w:rPr>
          <w:color w:val="000000"/>
          <w:sz w:val="24"/>
          <w:szCs w:val="24"/>
        </w:rPr>
        <w:t>Директор Департаменту</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008D55AF">
        <w:rPr>
          <w:color w:val="000000"/>
          <w:sz w:val="24"/>
          <w:szCs w:val="24"/>
        </w:rPr>
        <w:t xml:space="preserve">                                        </w:t>
      </w:r>
      <w:r>
        <w:rPr>
          <w:color w:val="000000"/>
          <w:sz w:val="24"/>
          <w:szCs w:val="24"/>
        </w:rPr>
        <w:t xml:space="preserve">       Руслан СВІТЛИЙ</w:t>
      </w:r>
    </w:p>
    <w:p w:rsidR="004D2DB3" w:rsidRDefault="004D2DB3" w:rsidP="00E217D3">
      <w:pPr>
        <w:rPr>
          <w:color w:val="000000"/>
          <w:sz w:val="24"/>
          <w:szCs w:val="24"/>
        </w:rPr>
      </w:pPr>
    </w:p>
    <w:p w:rsidR="004D2DB3" w:rsidRDefault="004D2DB3" w:rsidP="00E217D3">
      <w:pPr>
        <w:rPr>
          <w:color w:val="000000"/>
          <w:sz w:val="24"/>
          <w:szCs w:val="24"/>
        </w:rPr>
      </w:pPr>
    </w:p>
    <w:p w:rsidR="004D2DB3" w:rsidRDefault="004D2DB3" w:rsidP="00E217D3">
      <w:pPr>
        <w:rPr>
          <w:color w:val="000000"/>
          <w:sz w:val="24"/>
          <w:szCs w:val="24"/>
        </w:rPr>
      </w:pPr>
    </w:p>
    <w:p w:rsidR="00E217D3" w:rsidRDefault="00E217D3" w:rsidP="00E217D3">
      <w:pPr>
        <w:rPr>
          <w:bCs/>
          <w:iCs/>
          <w:color w:val="000000"/>
          <w:sz w:val="16"/>
          <w:szCs w:val="16"/>
        </w:rPr>
      </w:pPr>
      <w:r>
        <w:rPr>
          <w:color w:val="000000"/>
          <w:sz w:val="24"/>
          <w:szCs w:val="24"/>
        </w:rPr>
        <w:t>І</w:t>
      </w:r>
      <w:r>
        <w:rPr>
          <w:bCs/>
          <w:iCs/>
          <w:color w:val="000000"/>
          <w:sz w:val="16"/>
          <w:szCs w:val="16"/>
        </w:rPr>
        <w:t>нна Козаченко 497 03 37</w:t>
      </w:r>
    </w:p>
    <w:sectPr w:rsidR="00E217D3">
      <w:headerReference w:type="even" r:id="rId6"/>
      <w:headerReference w:type="default" r:id="rId7"/>
      <w:footerReference w:type="even" r:id="rId8"/>
      <w:footerReference w:type="default" r:id="rId9"/>
      <w:headerReference w:type="first" r:id="rId10"/>
      <w:footerReference w:type="first" r:id="rId11"/>
      <w:pgSz w:w="16840" w:h="11910" w:orient="landscape"/>
      <w:pgMar w:top="1140" w:right="420" w:bottom="1580" w:left="320" w:header="717" w:footer="13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796" w:rsidRDefault="00897796">
      <w:r>
        <w:separator/>
      </w:r>
    </w:p>
  </w:endnote>
  <w:endnote w:type="continuationSeparator" w:id="0">
    <w:p w:rsidR="00897796" w:rsidRDefault="0089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Arial,Bold">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9E" w:rsidRDefault="0082319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9E" w:rsidRDefault="0082319E">
    <w:pPr>
      <w:pStyle w:val="a3"/>
      <w:spacing w:line="14" w:lineRule="auto"/>
      <w:rPr>
        <w:sz w:val="20"/>
      </w:rPr>
    </w:pPr>
  </w:p>
  <w:p w:rsidR="0082319E" w:rsidRDefault="0082319E">
    <w:pPr>
      <w:pStyle w:val="a3"/>
      <w:spacing w:line="14" w:lineRule="auto"/>
      <w:rPr>
        <w:sz w:val="20"/>
      </w:rPr>
    </w:pPr>
  </w:p>
  <w:p w:rsidR="00497FAB" w:rsidRDefault="00897796">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5.7pt;margin-top:514.9pt;width:85.15pt;height:8pt;z-index:-252209152;mso-position-horizontal-relative:page;mso-position-vertical-relative:page" filled="f" stroked="f">
          <v:textbox inset="0,0,0,0">
            <w:txbxContent>
              <w:p w:rsidR="00497FAB" w:rsidRDefault="00497FAB">
                <w:pPr>
                  <w:pStyle w:val="a3"/>
                  <w:spacing w:line="142" w:lineRule="exact"/>
                  <w:ind w:left="20"/>
                </w:pPr>
              </w:p>
            </w:txbxContent>
          </v:textbox>
          <w10:wrap anchorx="page" anchory="page"/>
        </v:shape>
      </w:pict>
    </w:r>
    <w:r>
      <w:pict>
        <v:shape id="_x0000_s2050" type="#_x0000_t202" style="position:absolute;margin-left:55.7pt;margin-top:530.8pt;width:6.6pt;height:22.65pt;z-index:-252208128;mso-position-horizontal-relative:page;mso-position-vertical-relative:page" filled="f" stroked="f">
          <v:textbox inset="0,0,0,0">
            <w:txbxContent>
              <w:p w:rsidR="00497FAB" w:rsidRDefault="008F19A1">
                <w:pPr>
                  <w:pStyle w:val="a3"/>
                  <w:spacing w:line="142" w:lineRule="exact"/>
                  <w:ind w:left="20"/>
                </w:pPr>
                <w:r>
                  <w:t>1.</w:t>
                </w:r>
              </w:p>
              <w:p w:rsidR="00497FAB" w:rsidRDefault="008F19A1">
                <w:pPr>
                  <w:pStyle w:val="a3"/>
                  <w:ind w:left="20"/>
                </w:pPr>
                <w:r>
                  <w:t>2.</w:t>
                </w:r>
              </w:p>
              <w:p w:rsidR="00497FAB" w:rsidRDefault="008F19A1">
                <w:pPr>
                  <w:pStyle w:val="a3"/>
                  <w:ind w:left="20"/>
                </w:pPr>
                <w:r>
                  <w:t>3.</w:t>
                </w:r>
              </w:p>
            </w:txbxContent>
          </v:textbox>
          <w10:wrap anchorx="page" anchory="page"/>
        </v:shape>
      </w:pict>
    </w:r>
    <w:r>
      <w:pict>
        <v:shape id="_x0000_s2049" type="#_x0000_t202" style="position:absolute;margin-left:91.1pt;margin-top:530.8pt;width:589.05pt;height:22.65pt;z-index:-252207104;mso-position-horizontal-relative:page;mso-position-vertical-relative:page" filled="f" stroked="f">
          <v:textbox inset="0,0,0,0">
            <w:txbxContent>
              <w:p w:rsidR="00497FAB" w:rsidRDefault="008F19A1">
                <w:pPr>
                  <w:pStyle w:val="a3"/>
                  <w:spacing w:line="142" w:lineRule="exact"/>
                  <w:ind w:left="20"/>
                </w:pPr>
                <w:r>
                  <w:t>У стовпці 3 – відповідальним виконавцем завдання/заходу Програми заповнюється період (рік/роки), протягом якого(-</w:t>
                </w:r>
                <w:proofErr w:type="spellStart"/>
                <w:r>
                  <w:t>их</w:t>
                </w:r>
                <w:proofErr w:type="spellEnd"/>
                <w:r>
                  <w:t>) реалізується завдання/захід;</w:t>
                </w:r>
              </w:p>
              <w:p w:rsidR="00497FAB" w:rsidRDefault="008F19A1">
                <w:pPr>
                  <w:pStyle w:val="a3"/>
                  <w:ind w:left="20"/>
                </w:pPr>
                <w:r>
                  <w:t>Якщо відповідальні виконавці зазначають у стовпці 4 «Не виконувалося», то обов’язково заповнюється стовпчик 5 «Причини невиконання завдань/заходів Програми та заходи, які вживалися з метою забезпечення їх виконання»; У стовпці 4 – зазначається коротка, тезисна інформація про виконання завдання/заходу Програми та основні показники, що характеризують результати його виконання за відповідний звітний рік</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9E" w:rsidRDefault="0082319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796" w:rsidRDefault="00897796">
      <w:r>
        <w:separator/>
      </w:r>
    </w:p>
  </w:footnote>
  <w:footnote w:type="continuationSeparator" w:id="0">
    <w:p w:rsidR="00897796" w:rsidRDefault="00897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9E" w:rsidRDefault="0082319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AB" w:rsidRDefault="00897796">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5.2pt;margin-top:34.85pt;width:11.5pt;height:14.2pt;z-index:-252210176;mso-position-horizontal-relative:page;mso-position-vertical-relative:page" filled="f" stroked="f">
          <v:textbox inset="0,0,0,0">
            <w:txbxContent>
              <w:p w:rsidR="00497FAB" w:rsidRDefault="008F19A1">
                <w:pPr>
                  <w:spacing w:before="10"/>
                  <w:ind w:left="60"/>
                </w:pPr>
                <w:r>
                  <w:fldChar w:fldCharType="begin"/>
                </w:r>
                <w:r>
                  <w:instrText xml:space="preserve"> PAGE </w:instrText>
                </w:r>
                <w:r>
                  <w:fldChar w:fldCharType="separate"/>
                </w:r>
                <w:r w:rsidR="0063164F">
                  <w:rPr>
                    <w:noProof/>
                  </w:rPr>
                  <w:t>13</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9E" w:rsidRDefault="0082319E">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97FAB"/>
    <w:rsid w:val="000343EA"/>
    <w:rsid w:val="00057269"/>
    <w:rsid w:val="001017D0"/>
    <w:rsid w:val="00234292"/>
    <w:rsid w:val="00344B6B"/>
    <w:rsid w:val="00497FAB"/>
    <w:rsid w:val="004D2DB3"/>
    <w:rsid w:val="005D1EC2"/>
    <w:rsid w:val="0063164F"/>
    <w:rsid w:val="00632259"/>
    <w:rsid w:val="00666C9E"/>
    <w:rsid w:val="007561DD"/>
    <w:rsid w:val="007D491D"/>
    <w:rsid w:val="0082319E"/>
    <w:rsid w:val="00897796"/>
    <w:rsid w:val="008D55AF"/>
    <w:rsid w:val="008F19A1"/>
    <w:rsid w:val="0090377B"/>
    <w:rsid w:val="009424A4"/>
    <w:rsid w:val="009E7FA3"/>
    <w:rsid w:val="00A878E0"/>
    <w:rsid w:val="00C803CB"/>
    <w:rsid w:val="00CD4484"/>
    <w:rsid w:val="00E1326A"/>
    <w:rsid w:val="00E217D3"/>
    <w:rsid w:val="00E472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0A4384C-F428-4E8B-A022-E5835718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spacing w:before="91"/>
      <w:ind w:left="814"/>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Calibri" w:eastAsia="Calibri" w:hAnsi="Calibri" w:cs="Calibri"/>
      <w:sz w:val="12"/>
      <w:szCs w:val="12"/>
    </w:rPr>
  </w:style>
  <w:style w:type="paragraph" w:styleId="a4">
    <w:name w:val="Title"/>
    <w:basedOn w:val="a"/>
    <w:uiPriority w:val="1"/>
    <w:qFormat/>
    <w:pPr>
      <w:spacing w:before="10"/>
      <w:ind w:left="60"/>
    </w:pPr>
  </w:style>
  <w:style w:type="paragraph" w:styleId="a5">
    <w:name w:val="List Paragraph"/>
    <w:aliases w:val="List Paragraph"/>
    <w:basedOn w:val="a"/>
    <w:link w:val="a6"/>
    <w:uiPriority w:val="34"/>
    <w:qFormat/>
  </w:style>
  <w:style w:type="paragraph" w:customStyle="1" w:styleId="TableParagraph">
    <w:name w:val="Table Paragraph"/>
    <w:basedOn w:val="a"/>
    <w:uiPriority w:val="1"/>
    <w:qFormat/>
  </w:style>
  <w:style w:type="paragraph" w:styleId="a7">
    <w:name w:val="Normal (Web)"/>
    <w:basedOn w:val="a"/>
    <w:uiPriority w:val="99"/>
    <w:semiHidden/>
    <w:unhideWhenUsed/>
    <w:rsid w:val="00057269"/>
    <w:pPr>
      <w:widowControl/>
      <w:autoSpaceDE/>
      <w:autoSpaceDN/>
      <w:spacing w:before="100" w:beforeAutospacing="1" w:after="100" w:afterAutospacing="1"/>
    </w:pPr>
    <w:rPr>
      <w:sz w:val="24"/>
      <w:szCs w:val="24"/>
      <w:lang w:bidi="ar-SA"/>
    </w:rPr>
  </w:style>
  <w:style w:type="paragraph" w:customStyle="1" w:styleId="10">
    <w:name w:val="Абзац списку1"/>
    <w:aliases w:val="body 2,List Paragraph11,Mummuga loetelu,Loendi lõik,2,List Paragraph à moi,Dot pt,No Spacing1,List Paragraph Char Char Char,Indicator Text,Numbered Para 1,Welt L Char,Welt L,Bullet List,FooterText,numbered,列出段落,列出段落1,Bullet 1,Абзац списка1"/>
    <w:basedOn w:val="a"/>
    <w:link w:val="ListParagraphChar"/>
    <w:rsid w:val="00666C9E"/>
    <w:pPr>
      <w:widowControl/>
      <w:autoSpaceDE/>
      <w:autoSpaceDN/>
      <w:spacing w:after="200" w:line="276" w:lineRule="auto"/>
      <w:ind w:left="720"/>
      <w:contextualSpacing/>
    </w:pPr>
    <w:rPr>
      <w:rFonts w:ascii="Calibri" w:hAnsi="Calibri"/>
      <w:lang w:val="ru-RU" w:eastAsia="en-US" w:bidi="ar-SA"/>
    </w:rPr>
  </w:style>
  <w:style w:type="character" w:customStyle="1" w:styleId="ListParagraphChar">
    <w:name w:val="List Paragraph Char"/>
    <w:aliases w:val="body 2 Char,List Paragraph11 Char,Mummuga loetelu Char,Loendi lõik Char,2 Char,List Paragraph à moi Char,Dot pt Char,No Spacing1 Char,List Paragraph Char Char Char Char,Indicator Text Char,Numbered Para 1 Char,Welt L Char Char"/>
    <w:link w:val="10"/>
    <w:locked/>
    <w:rsid w:val="00666C9E"/>
    <w:rPr>
      <w:rFonts w:ascii="Calibri" w:eastAsia="Times New Roman" w:hAnsi="Calibri" w:cs="Times New Roman"/>
      <w:lang w:val="ru-RU"/>
    </w:rPr>
  </w:style>
  <w:style w:type="paragraph" w:styleId="a8">
    <w:name w:val="Balloon Text"/>
    <w:basedOn w:val="a"/>
    <w:link w:val="a9"/>
    <w:uiPriority w:val="99"/>
    <w:semiHidden/>
    <w:unhideWhenUsed/>
    <w:rsid w:val="000343EA"/>
    <w:pPr>
      <w:widowControl/>
      <w:autoSpaceDE/>
      <w:autoSpaceDN/>
    </w:pPr>
    <w:rPr>
      <w:rFonts w:ascii="Tahoma" w:hAnsi="Tahoma" w:cs="Tahoma"/>
      <w:sz w:val="16"/>
      <w:szCs w:val="16"/>
      <w:lang w:eastAsia="ru-RU" w:bidi="ar-SA"/>
    </w:rPr>
  </w:style>
  <w:style w:type="character" w:customStyle="1" w:styleId="a9">
    <w:name w:val="Текст у виносці Знак"/>
    <w:basedOn w:val="a0"/>
    <w:link w:val="a8"/>
    <w:uiPriority w:val="99"/>
    <w:semiHidden/>
    <w:rsid w:val="000343EA"/>
    <w:rPr>
      <w:rFonts w:ascii="Tahoma" w:eastAsia="Times New Roman" w:hAnsi="Tahoma" w:cs="Tahoma"/>
      <w:sz w:val="16"/>
      <w:szCs w:val="16"/>
      <w:lang w:val="uk-UA" w:eastAsia="ru-RU"/>
    </w:rPr>
  </w:style>
  <w:style w:type="paragraph" w:customStyle="1" w:styleId="Standard">
    <w:name w:val="Standard"/>
    <w:rsid w:val="00E472AE"/>
    <w:pPr>
      <w:widowControl/>
      <w:suppressAutoHyphens/>
      <w:autoSpaceDE/>
      <w:spacing w:after="200" w:line="276" w:lineRule="auto"/>
      <w:textAlignment w:val="baseline"/>
    </w:pPr>
    <w:rPr>
      <w:rFonts w:ascii="Calibri" w:eastAsia="Times New Roman" w:hAnsi="Calibri" w:cs="DejaVu Sans"/>
      <w:lang w:val="uk-UA"/>
    </w:rPr>
  </w:style>
  <w:style w:type="paragraph" w:customStyle="1" w:styleId="aa">
    <w:name w:val="Абзац списка"/>
    <w:basedOn w:val="a"/>
    <w:rsid w:val="00632259"/>
    <w:pPr>
      <w:widowControl/>
      <w:autoSpaceDE/>
      <w:autoSpaceDN/>
      <w:ind w:left="720"/>
      <w:contextualSpacing/>
    </w:pPr>
    <w:rPr>
      <w:sz w:val="24"/>
      <w:szCs w:val="24"/>
      <w:lang w:val="ru-RU" w:eastAsia="ru-RU" w:bidi="ar-SA"/>
    </w:rPr>
  </w:style>
  <w:style w:type="character" w:customStyle="1" w:styleId="a6">
    <w:name w:val="Абзац списку Знак"/>
    <w:aliases w:val="List Paragraph Знак,body 2 Знак,List Paragraph11 Знак,Mummuga loetelu Знак,Loendi lõik Знак,2 Знак,List Paragraph à moi Знак,Dot pt Знак,No Spacing1 Знак,List Paragraph Char Char Char Знак,Indicator Text Знак,Numbered Para 1 Знак"/>
    <w:link w:val="a5"/>
    <w:uiPriority w:val="34"/>
    <w:qFormat/>
    <w:locked/>
    <w:rsid w:val="00CD4484"/>
    <w:rPr>
      <w:rFonts w:ascii="Times New Roman" w:eastAsia="Times New Roman" w:hAnsi="Times New Roman" w:cs="Times New Roman"/>
      <w:lang w:val="uk-UA" w:eastAsia="uk-UA" w:bidi="uk-UA"/>
    </w:rPr>
  </w:style>
  <w:style w:type="table" w:styleId="ab">
    <w:name w:val="Table Grid"/>
    <w:basedOn w:val="a1"/>
    <w:uiPriority w:val="39"/>
    <w:rsid w:val="00CD448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2319E"/>
    <w:pPr>
      <w:tabs>
        <w:tab w:val="center" w:pos="4819"/>
        <w:tab w:val="right" w:pos="9639"/>
      </w:tabs>
    </w:pPr>
  </w:style>
  <w:style w:type="character" w:customStyle="1" w:styleId="ad">
    <w:name w:val="Верхній колонтитул Знак"/>
    <w:basedOn w:val="a0"/>
    <w:link w:val="ac"/>
    <w:uiPriority w:val="99"/>
    <w:rsid w:val="0082319E"/>
    <w:rPr>
      <w:rFonts w:ascii="Times New Roman" w:eastAsia="Times New Roman" w:hAnsi="Times New Roman" w:cs="Times New Roman"/>
      <w:lang w:val="uk-UA" w:eastAsia="uk-UA" w:bidi="uk-UA"/>
    </w:rPr>
  </w:style>
  <w:style w:type="paragraph" w:styleId="ae">
    <w:name w:val="footer"/>
    <w:basedOn w:val="a"/>
    <w:link w:val="af"/>
    <w:uiPriority w:val="99"/>
    <w:unhideWhenUsed/>
    <w:rsid w:val="0082319E"/>
    <w:pPr>
      <w:tabs>
        <w:tab w:val="center" w:pos="4819"/>
        <w:tab w:val="right" w:pos="9639"/>
      </w:tabs>
    </w:pPr>
  </w:style>
  <w:style w:type="character" w:customStyle="1" w:styleId="af">
    <w:name w:val="Нижній колонтитул Знак"/>
    <w:basedOn w:val="a0"/>
    <w:link w:val="ae"/>
    <w:uiPriority w:val="99"/>
    <w:rsid w:val="0082319E"/>
    <w:rPr>
      <w:rFonts w:ascii="Times New Roman" w:eastAsia="Times New Roman" w:hAnsi="Times New Roman" w:cs="Times New Roman"/>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783679">
      <w:bodyDiv w:val="1"/>
      <w:marLeft w:val="0"/>
      <w:marRight w:val="0"/>
      <w:marTop w:val="0"/>
      <w:marBottom w:val="0"/>
      <w:divBdr>
        <w:top w:val="none" w:sz="0" w:space="0" w:color="auto"/>
        <w:left w:val="none" w:sz="0" w:space="0" w:color="auto"/>
        <w:bottom w:val="none" w:sz="0" w:space="0" w:color="auto"/>
        <w:right w:val="none" w:sz="0" w:space="0" w:color="auto"/>
      </w:divBdr>
    </w:div>
    <w:div w:id="2002466951">
      <w:bodyDiv w:val="1"/>
      <w:marLeft w:val="0"/>
      <w:marRight w:val="0"/>
      <w:marTop w:val="0"/>
      <w:marBottom w:val="0"/>
      <w:divBdr>
        <w:top w:val="none" w:sz="0" w:space="0" w:color="auto"/>
        <w:left w:val="none" w:sz="0" w:space="0" w:color="auto"/>
        <w:bottom w:val="none" w:sz="0" w:space="0" w:color="auto"/>
        <w:right w:val="none" w:sz="0" w:space="0" w:color="auto"/>
      </w:divBdr>
    </w:div>
    <w:div w:id="2080908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13</Pages>
  <Words>20423</Words>
  <Characters>11642</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Сергій В. Хабін</dc:creator>
  <cp:lastModifiedBy>Козаченко Інна Анатоліївна</cp:lastModifiedBy>
  <cp:revision>14</cp:revision>
  <cp:lastPrinted>2022-10-12T08:19:00Z</cp:lastPrinted>
  <dcterms:created xsi:type="dcterms:W3CDTF">2022-09-21T05:35:00Z</dcterms:created>
  <dcterms:modified xsi:type="dcterms:W3CDTF">2022-10-12T08:20:00Z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Office Word</vt:lpwstr>
  </property>
  <property fmtid="{D5CDD505-2E9C-101B-9397-08002B2CF9AE}" pid="4" name="LastSaved">
    <vt:filetime>2022-09-21T00:00:00Z</vt:filetime>
  </property>
</Properties>
</file>